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AC8AA1" w14:textId="77777777" w:rsidR="000E76B9" w:rsidRDefault="000E76B9">
      <w:pPr>
        <w:rPr>
          <w:rFonts w:eastAsia="黑体"/>
          <w:b/>
          <w:bCs/>
          <w:kern w:val="0"/>
          <w:sz w:val="32"/>
          <w:szCs w:val="32"/>
        </w:rPr>
      </w:pPr>
    </w:p>
    <w:p w14:paraId="2D4F0028" w14:textId="77777777" w:rsidR="000E76B9" w:rsidRDefault="000E76B9">
      <w:pPr>
        <w:rPr>
          <w:rFonts w:eastAsia="黑体"/>
          <w:b/>
          <w:bCs/>
          <w:kern w:val="0"/>
          <w:sz w:val="32"/>
          <w:szCs w:val="32"/>
        </w:rPr>
      </w:pPr>
    </w:p>
    <w:p w14:paraId="4AC5C4D0" w14:textId="77777777" w:rsidR="000E76B9" w:rsidRDefault="000E76B9">
      <w:pPr>
        <w:rPr>
          <w:rFonts w:eastAsia="黑体"/>
          <w:b/>
          <w:bCs/>
          <w:kern w:val="0"/>
          <w:sz w:val="32"/>
          <w:szCs w:val="32"/>
        </w:rPr>
      </w:pPr>
    </w:p>
    <w:p w14:paraId="201C47F1" w14:textId="05A9479A" w:rsidR="000E76B9" w:rsidRDefault="00553AF6" w:rsidP="00954ECC">
      <w:pPr>
        <w:jc w:val="center"/>
        <w:rPr>
          <w:rFonts w:eastAsia="黑体"/>
          <w:b/>
          <w:bCs/>
          <w:kern w:val="0"/>
          <w:sz w:val="32"/>
          <w:szCs w:val="32"/>
        </w:rPr>
      </w:pPr>
      <w:r>
        <w:rPr>
          <w:rFonts w:eastAsia="黑体" w:hint="eastAsia"/>
          <w:b/>
          <w:bCs/>
          <w:kern w:val="0"/>
          <w:sz w:val="32"/>
          <w:szCs w:val="32"/>
        </w:rPr>
        <w:t>上海市地方标准</w:t>
      </w:r>
    </w:p>
    <w:p w14:paraId="78009CFF" w14:textId="77777777" w:rsidR="000E76B9" w:rsidRDefault="00A86600">
      <w:pPr>
        <w:spacing w:line="360" w:lineRule="auto"/>
        <w:jc w:val="center"/>
        <w:outlineLvl w:val="0"/>
        <w:rPr>
          <w:rFonts w:eastAsia="黑体"/>
          <w:b/>
          <w:bCs/>
          <w:sz w:val="36"/>
          <w:szCs w:val="36"/>
        </w:rPr>
      </w:pPr>
      <w:bookmarkStart w:id="0" w:name="_Toc187045216"/>
      <w:bookmarkStart w:id="1" w:name="_Toc187067309"/>
      <w:r>
        <w:rPr>
          <w:rFonts w:eastAsia="黑体"/>
          <w:b/>
          <w:bCs/>
          <w:sz w:val="36"/>
          <w:szCs w:val="36"/>
        </w:rPr>
        <w:t>《动物无害化处理恶臭（异味）污染物控制规范》</w:t>
      </w:r>
      <w:bookmarkEnd w:id="0"/>
      <w:bookmarkEnd w:id="1"/>
    </w:p>
    <w:p w14:paraId="4A93E889" w14:textId="1E9A1978" w:rsidR="000E76B9" w:rsidRDefault="00A86600">
      <w:pPr>
        <w:spacing w:line="360" w:lineRule="auto"/>
        <w:jc w:val="center"/>
        <w:rPr>
          <w:rFonts w:eastAsia="黑体"/>
          <w:b/>
          <w:bCs/>
          <w:sz w:val="36"/>
          <w:szCs w:val="36"/>
        </w:rPr>
      </w:pPr>
      <w:r>
        <w:rPr>
          <w:rFonts w:eastAsia="黑体"/>
          <w:b/>
          <w:bCs/>
          <w:sz w:val="36"/>
          <w:szCs w:val="36"/>
        </w:rPr>
        <w:t>（</w:t>
      </w:r>
      <w:r w:rsidR="00C11B07">
        <w:rPr>
          <w:rFonts w:eastAsia="黑体" w:hint="eastAsia"/>
          <w:b/>
          <w:bCs/>
          <w:sz w:val="36"/>
          <w:szCs w:val="36"/>
        </w:rPr>
        <w:t>征求意见</w:t>
      </w:r>
      <w:r w:rsidR="00553AF6">
        <w:rPr>
          <w:rFonts w:eastAsia="黑体" w:hint="eastAsia"/>
          <w:b/>
          <w:bCs/>
          <w:sz w:val="36"/>
          <w:szCs w:val="36"/>
        </w:rPr>
        <w:t>稿</w:t>
      </w:r>
      <w:r>
        <w:rPr>
          <w:rFonts w:eastAsia="黑体"/>
          <w:b/>
          <w:bCs/>
          <w:sz w:val="36"/>
          <w:szCs w:val="36"/>
        </w:rPr>
        <w:t>）编制说明</w:t>
      </w:r>
    </w:p>
    <w:p w14:paraId="274C9A06" w14:textId="77777777" w:rsidR="000E76B9" w:rsidRDefault="000E76B9">
      <w:pPr>
        <w:jc w:val="center"/>
        <w:rPr>
          <w:rFonts w:eastAsia="黑体"/>
          <w:b/>
          <w:bCs/>
          <w:sz w:val="36"/>
          <w:szCs w:val="36"/>
        </w:rPr>
      </w:pPr>
    </w:p>
    <w:p w14:paraId="40BDB23E" w14:textId="77777777" w:rsidR="000E76B9" w:rsidRDefault="000E76B9">
      <w:pPr>
        <w:jc w:val="center"/>
        <w:rPr>
          <w:rFonts w:eastAsia="黑体"/>
          <w:b/>
          <w:bCs/>
          <w:sz w:val="36"/>
          <w:szCs w:val="36"/>
        </w:rPr>
      </w:pPr>
    </w:p>
    <w:p w14:paraId="486BDB1A" w14:textId="77777777" w:rsidR="000E76B9" w:rsidRPr="00E5127D" w:rsidRDefault="000E76B9">
      <w:pPr>
        <w:jc w:val="center"/>
        <w:rPr>
          <w:rFonts w:eastAsia="黑体"/>
          <w:b/>
          <w:bCs/>
          <w:sz w:val="36"/>
          <w:szCs w:val="36"/>
        </w:rPr>
      </w:pPr>
    </w:p>
    <w:p w14:paraId="6CC14178" w14:textId="77777777" w:rsidR="000E76B9" w:rsidRDefault="000E76B9">
      <w:pPr>
        <w:jc w:val="center"/>
        <w:rPr>
          <w:rFonts w:eastAsia="黑体"/>
          <w:b/>
          <w:bCs/>
          <w:sz w:val="36"/>
          <w:szCs w:val="36"/>
        </w:rPr>
      </w:pPr>
    </w:p>
    <w:p w14:paraId="4CF98E4E" w14:textId="77777777" w:rsidR="000E76B9" w:rsidRDefault="000E76B9">
      <w:pPr>
        <w:jc w:val="center"/>
        <w:rPr>
          <w:rFonts w:eastAsia="黑体"/>
          <w:b/>
          <w:bCs/>
          <w:sz w:val="36"/>
          <w:szCs w:val="36"/>
        </w:rPr>
      </w:pPr>
    </w:p>
    <w:p w14:paraId="1CD52DF7" w14:textId="77777777" w:rsidR="000E76B9" w:rsidRDefault="000E76B9">
      <w:pPr>
        <w:jc w:val="center"/>
        <w:rPr>
          <w:rFonts w:eastAsia="黑体"/>
          <w:b/>
          <w:bCs/>
          <w:sz w:val="36"/>
          <w:szCs w:val="36"/>
        </w:rPr>
      </w:pPr>
    </w:p>
    <w:p w14:paraId="39511839" w14:textId="77777777" w:rsidR="000E76B9" w:rsidRDefault="000E76B9">
      <w:pPr>
        <w:jc w:val="center"/>
        <w:rPr>
          <w:rFonts w:eastAsia="黑体"/>
          <w:b/>
          <w:bCs/>
          <w:sz w:val="36"/>
          <w:szCs w:val="36"/>
        </w:rPr>
      </w:pPr>
    </w:p>
    <w:p w14:paraId="771B2516" w14:textId="77777777" w:rsidR="000E76B9" w:rsidRDefault="000E76B9">
      <w:pPr>
        <w:jc w:val="center"/>
        <w:rPr>
          <w:rFonts w:eastAsia="黑体"/>
          <w:b/>
          <w:bCs/>
          <w:sz w:val="36"/>
          <w:szCs w:val="36"/>
        </w:rPr>
      </w:pPr>
    </w:p>
    <w:p w14:paraId="676AA9C9" w14:textId="77777777" w:rsidR="000E76B9" w:rsidRDefault="000E76B9">
      <w:pPr>
        <w:jc w:val="center"/>
        <w:rPr>
          <w:rFonts w:eastAsia="黑体"/>
          <w:b/>
          <w:bCs/>
          <w:sz w:val="36"/>
          <w:szCs w:val="36"/>
        </w:rPr>
      </w:pPr>
    </w:p>
    <w:p w14:paraId="02007A56" w14:textId="77777777" w:rsidR="000E76B9" w:rsidRDefault="000E76B9">
      <w:pPr>
        <w:jc w:val="center"/>
        <w:rPr>
          <w:rFonts w:eastAsia="黑体"/>
          <w:b/>
          <w:bCs/>
          <w:sz w:val="36"/>
          <w:szCs w:val="36"/>
        </w:rPr>
      </w:pPr>
    </w:p>
    <w:p w14:paraId="6761E173" w14:textId="77777777" w:rsidR="000E76B9" w:rsidRDefault="000E76B9">
      <w:pPr>
        <w:jc w:val="center"/>
        <w:rPr>
          <w:rFonts w:eastAsia="黑体"/>
          <w:b/>
          <w:bCs/>
          <w:sz w:val="36"/>
          <w:szCs w:val="36"/>
        </w:rPr>
      </w:pPr>
    </w:p>
    <w:p w14:paraId="31B9AC73" w14:textId="77777777" w:rsidR="002514F3" w:rsidRDefault="002514F3">
      <w:pPr>
        <w:jc w:val="center"/>
        <w:rPr>
          <w:rFonts w:eastAsia="黑体"/>
          <w:b/>
          <w:bCs/>
          <w:sz w:val="36"/>
          <w:szCs w:val="36"/>
        </w:rPr>
      </w:pPr>
    </w:p>
    <w:p w14:paraId="3B19906B" w14:textId="77777777" w:rsidR="002514F3" w:rsidRDefault="002514F3">
      <w:pPr>
        <w:jc w:val="center"/>
        <w:rPr>
          <w:rFonts w:eastAsia="黑体"/>
          <w:b/>
          <w:bCs/>
          <w:sz w:val="36"/>
          <w:szCs w:val="36"/>
        </w:rPr>
      </w:pPr>
    </w:p>
    <w:p w14:paraId="3112D910" w14:textId="25CCC7C3" w:rsidR="000E76B9" w:rsidRDefault="00E5127D">
      <w:pPr>
        <w:jc w:val="center"/>
        <w:rPr>
          <w:rFonts w:eastAsia="黑体"/>
          <w:b/>
          <w:bCs/>
          <w:sz w:val="36"/>
          <w:szCs w:val="36"/>
        </w:rPr>
      </w:pPr>
      <w:r>
        <w:rPr>
          <w:rFonts w:eastAsia="黑体" w:hint="eastAsia"/>
          <w:b/>
          <w:bCs/>
          <w:sz w:val="36"/>
          <w:szCs w:val="36"/>
        </w:rPr>
        <w:t>标准编制组</w:t>
      </w:r>
    </w:p>
    <w:p w14:paraId="3B1E14F4" w14:textId="2A3032A0" w:rsidR="000E76B9" w:rsidRDefault="00E5127D">
      <w:pPr>
        <w:jc w:val="center"/>
        <w:rPr>
          <w:rFonts w:eastAsia="黑体"/>
          <w:b/>
          <w:bCs/>
          <w:sz w:val="36"/>
          <w:szCs w:val="36"/>
        </w:rPr>
        <w:sectPr w:rsidR="000E76B9">
          <w:footerReference w:type="default" r:id="rId9"/>
          <w:pgSz w:w="11906" w:h="16838"/>
          <w:pgMar w:top="1440" w:right="1800" w:bottom="1440" w:left="1800" w:header="851" w:footer="992" w:gutter="0"/>
          <w:cols w:space="425"/>
          <w:docGrid w:type="lines" w:linePitch="312"/>
        </w:sectPr>
      </w:pPr>
      <w:r>
        <w:rPr>
          <w:rFonts w:eastAsia="黑体" w:hint="eastAsia"/>
          <w:b/>
          <w:bCs/>
          <w:sz w:val="36"/>
          <w:szCs w:val="36"/>
        </w:rPr>
        <w:t>二〇二五</w:t>
      </w:r>
      <w:r w:rsidR="00A86600">
        <w:rPr>
          <w:rFonts w:eastAsia="黑体"/>
          <w:b/>
          <w:bCs/>
          <w:sz w:val="36"/>
          <w:szCs w:val="36"/>
        </w:rPr>
        <w:t>年</w:t>
      </w:r>
      <w:r>
        <w:rPr>
          <w:rFonts w:eastAsia="黑体" w:hint="eastAsia"/>
          <w:b/>
          <w:bCs/>
          <w:sz w:val="36"/>
          <w:szCs w:val="36"/>
        </w:rPr>
        <w:t>一</w:t>
      </w:r>
      <w:r w:rsidR="00A86600">
        <w:rPr>
          <w:rFonts w:eastAsia="黑体"/>
          <w:b/>
          <w:bCs/>
          <w:sz w:val="36"/>
          <w:szCs w:val="36"/>
        </w:rPr>
        <w:t>月</w:t>
      </w:r>
    </w:p>
    <w:p w14:paraId="0C169BD3" w14:textId="77777777" w:rsidR="000E76B9" w:rsidRDefault="00A86600">
      <w:pPr>
        <w:jc w:val="center"/>
        <w:rPr>
          <w:rFonts w:eastAsia="黑体"/>
          <w:b/>
          <w:bCs/>
          <w:kern w:val="0"/>
          <w:sz w:val="32"/>
          <w:szCs w:val="32"/>
        </w:rPr>
      </w:pPr>
      <w:r>
        <w:rPr>
          <w:rFonts w:eastAsia="黑体"/>
          <w:b/>
          <w:bCs/>
          <w:kern w:val="0"/>
          <w:sz w:val="32"/>
          <w:szCs w:val="32"/>
        </w:rPr>
        <w:lastRenderedPageBreak/>
        <w:t>目录</w:t>
      </w:r>
    </w:p>
    <w:p w14:paraId="5A64B68E" w14:textId="77777777" w:rsidR="000E76B9" w:rsidRDefault="000E76B9" w:rsidP="00850642">
      <w:pPr>
        <w:adjustRightInd w:val="0"/>
        <w:snapToGrid w:val="0"/>
        <w:spacing w:line="312" w:lineRule="auto"/>
        <w:rPr>
          <w:b/>
          <w:sz w:val="24"/>
          <w:szCs w:val="24"/>
        </w:rPr>
      </w:pPr>
      <w:bookmarkStart w:id="2" w:name="_Toc21290"/>
      <w:bookmarkStart w:id="3" w:name="_Toc31178"/>
    </w:p>
    <w:sdt>
      <w:sdtPr>
        <w:id w:val="147465165"/>
        <w15:color w:val="DBDBDB"/>
        <w:docPartObj>
          <w:docPartGallery w:val="Table of Contents"/>
          <w:docPartUnique/>
        </w:docPartObj>
      </w:sdtPr>
      <w:sdtEndPr>
        <w:rPr>
          <w:b/>
          <w:sz w:val="32"/>
          <w:szCs w:val="32"/>
        </w:rPr>
      </w:sdtEndPr>
      <w:sdtContent>
        <w:p w14:paraId="7A243C5C" w14:textId="3E83774A" w:rsidR="00954ECC" w:rsidRDefault="00A86600" w:rsidP="00954ECC">
          <w:pPr>
            <w:pStyle w:val="TOC1"/>
            <w:tabs>
              <w:tab w:val="right" w:leader="dot" w:pos="8296"/>
            </w:tabs>
            <w:spacing w:line="360" w:lineRule="auto"/>
            <w:rPr>
              <w:rFonts w:asciiTheme="minorHAnsi" w:eastAsiaTheme="minorEastAsia" w:hAnsiTheme="minorHAnsi" w:cstheme="minorBidi"/>
              <w:noProof/>
              <w:szCs w:val="24"/>
            </w:rPr>
          </w:pPr>
          <w:r>
            <w:rPr>
              <w:b/>
              <w:kern w:val="0"/>
              <w:sz w:val="24"/>
              <w:szCs w:val="24"/>
            </w:rPr>
            <w:fldChar w:fldCharType="begin"/>
          </w:r>
          <w:r>
            <w:rPr>
              <w:b/>
              <w:sz w:val="24"/>
              <w:szCs w:val="24"/>
            </w:rPr>
            <w:instrText xml:space="preserve">TOC \o "1-2" \h \u </w:instrText>
          </w:r>
          <w:r>
            <w:rPr>
              <w:b/>
              <w:kern w:val="0"/>
              <w:sz w:val="24"/>
              <w:szCs w:val="24"/>
            </w:rPr>
            <w:fldChar w:fldCharType="separate"/>
          </w:r>
          <w:hyperlink w:anchor="_Toc187067311" w:history="1">
            <w:r w:rsidR="00954ECC" w:rsidRPr="003D5D1C">
              <w:rPr>
                <w:rStyle w:val="af2"/>
                <w:rFonts w:eastAsia="黑体"/>
                <w:b/>
                <w:noProof/>
              </w:rPr>
              <w:t>一、任务来源</w:t>
            </w:r>
            <w:r w:rsidR="00954ECC">
              <w:rPr>
                <w:noProof/>
              </w:rPr>
              <w:tab/>
            </w:r>
            <w:r w:rsidR="00954ECC">
              <w:rPr>
                <w:noProof/>
              </w:rPr>
              <w:fldChar w:fldCharType="begin"/>
            </w:r>
            <w:r w:rsidR="00954ECC">
              <w:rPr>
                <w:noProof/>
              </w:rPr>
              <w:instrText xml:space="preserve"> PAGEREF _Toc187067311 \h </w:instrText>
            </w:r>
            <w:r w:rsidR="00954ECC">
              <w:rPr>
                <w:noProof/>
              </w:rPr>
            </w:r>
            <w:r w:rsidR="00954ECC">
              <w:rPr>
                <w:noProof/>
              </w:rPr>
              <w:fldChar w:fldCharType="separate"/>
            </w:r>
            <w:r w:rsidR="00954ECC">
              <w:rPr>
                <w:noProof/>
              </w:rPr>
              <w:t>2</w:t>
            </w:r>
            <w:r w:rsidR="00954ECC">
              <w:rPr>
                <w:noProof/>
              </w:rPr>
              <w:fldChar w:fldCharType="end"/>
            </w:r>
          </w:hyperlink>
        </w:p>
        <w:p w14:paraId="5B2C9A91" w14:textId="63126C5D"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12" w:history="1">
            <w:r w:rsidRPr="003D5D1C">
              <w:rPr>
                <w:rStyle w:val="af2"/>
                <w:rFonts w:eastAsia="黑体"/>
                <w:b/>
                <w:bCs/>
                <w:noProof/>
              </w:rPr>
              <w:t>二、标准编制目的和意义</w:t>
            </w:r>
            <w:r>
              <w:rPr>
                <w:noProof/>
              </w:rPr>
              <w:tab/>
            </w:r>
            <w:r>
              <w:rPr>
                <w:noProof/>
              </w:rPr>
              <w:fldChar w:fldCharType="begin"/>
            </w:r>
            <w:r>
              <w:rPr>
                <w:noProof/>
              </w:rPr>
              <w:instrText xml:space="preserve"> PAGEREF _Toc187067312 \h </w:instrText>
            </w:r>
            <w:r>
              <w:rPr>
                <w:noProof/>
              </w:rPr>
            </w:r>
            <w:r>
              <w:rPr>
                <w:noProof/>
              </w:rPr>
              <w:fldChar w:fldCharType="separate"/>
            </w:r>
            <w:r>
              <w:rPr>
                <w:noProof/>
              </w:rPr>
              <w:t>2</w:t>
            </w:r>
            <w:r>
              <w:rPr>
                <w:noProof/>
              </w:rPr>
              <w:fldChar w:fldCharType="end"/>
            </w:r>
          </w:hyperlink>
        </w:p>
        <w:p w14:paraId="5932A456" w14:textId="4325EE12"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13" w:history="1">
            <w:r w:rsidRPr="003D5D1C">
              <w:rPr>
                <w:rStyle w:val="af2"/>
                <w:rFonts w:eastAsia="黑体"/>
                <w:b/>
                <w:bCs/>
                <w:noProof/>
              </w:rPr>
              <w:t>三、编制过程</w:t>
            </w:r>
            <w:r>
              <w:rPr>
                <w:noProof/>
              </w:rPr>
              <w:tab/>
            </w:r>
            <w:r>
              <w:rPr>
                <w:noProof/>
              </w:rPr>
              <w:fldChar w:fldCharType="begin"/>
            </w:r>
            <w:r>
              <w:rPr>
                <w:noProof/>
              </w:rPr>
              <w:instrText xml:space="preserve"> PAGEREF _Toc187067313 \h </w:instrText>
            </w:r>
            <w:r>
              <w:rPr>
                <w:noProof/>
              </w:rPr>
            </w:r>
            <w:r>
              <w:rPr>
                <w:noProof/>
              </w:rPr>
              <w:fldChar w:fldCharType="separate"/>
            </w:r>
            <w:r>
              <w:rPr>
                <w:noProof/>
              </w:rPr>
              <w:t>4</w:t>
            </w:r>
            <w:r>
              <w:rPr>
                <w:noProof/>
              </w:rPr>
              <w:fldChar w:fldCharType="end"/>
            </w:r>
          </w:hyperlink>
        </w:p>
        <w:p w14:paraId="06D75428" w14:textId="79914E9E" w:rsidR="00954ECC" w:rsidRDefault="00954ECC" w:rsidP="00954ECC">
          <w:pPr>
            <w:pStyle w:val="TOC2"/>
            <w:tabs>
              <w:tab w:val="right" w:leader="dot" w:pos="8296"/>
            </w:tabs>
            <w:spacing w:line="360" w:lineRule="auto"/>
            <w:rPr>
              <w:rFonts w:asciiTheme="minorHAnsi" w:eastAsiaTheme="minorEastAsia" w:hAnsiTheme="minorHAnsi" w:cstheme="minorBidi"/>
              <w:noProof/>
              <w:szCs w:val="24"/>
            </w:rPr>
          </w:pPr>
          <w:hyperlink w:anchor="_Toc187067314" w:history="1">
            <w:r w:rsidRPr="003D5D1C">
              <w:rPr>
                <w:rStyle w:val="af2"/>
                <w:rFonts w:ascii="仿宋" w:eastAsia="仿宋" w:hAnsi="仿宋"/>
                <w:b/>
                <w:noProof/>
              </w:rPr>
              <w:t>（一）起草阶段</w:t>
            </w:r>
            <w:r>
              <w:rPr>
                <w:noProof/>
              </w:rPr>
              <w:tab/>
            </w:r>
            <w:r>
              <w:rPr>
                <w:noProof/>
              </w:rPr>
              <w:fldChar w:fldCharType="begin"/>
            </w:r>
            <w:r>
              <w:rPr>
                <w:noProof/>
              </w:rPr>
              <w:instrText xml:space="preserve"> PAGEREF _Toc187067314 \h </w:instrText>
            </w:r>
            <w:r>
              <w:rPr>
                <w:noProof/>
              </w:rPr>
            </w:r>
            <w:r>
              <w:rPr>
                <w:noProof/>
              </w:rPr>
              <w:fldChar w:fldCharType="separate"/>
            </w:r>
            <w:r>
              <w:rPr>
                <w:noProof/>
              </w:rPr>
              <w:t>4</w:t>
            </w:r>
            <w:r>
              <w:rPr>
                <w:noProof/>
              </w:rPr>
              <w:fldChar w:fldCharType="end"/>
            </w:r>
          </w:hyperlink>
        </w:p>
        <w:p w14:paraId="0DC43F00" w14:textId="4307BA4D" w:rsidR="00954ECC" w:rsidRDefault="00954ECC" w:rsidP="00954ECC">
          <w:pPr>
            <w:pStyle w:val="TOC2"/>
            <w:tabs>
              <w:tab w:val="right" w:leader="dot" w:pos="8296"/>
            </w:tabs>
            <w:spacing w:line="360" w:lineRule="auto"/>
            <w:rPr>
              <w:rFonts w:asciiTheme="minorHAnsi" w:eastAsiaTheme="minorEastAsia" w:hAnsiTheme="minorHAnsi" w:cstheme="minorBidi"/>
              <w:noProof/>
              <w:szCs w:val="24"/>
            </w:rPr>
          </w:pPr>
          <w:hyperlink w:anchor="_Toc187067315" w:history="1">
            <w:r w:rsidRPr="003D5D1C">
              <w:rPr>
                <w:rStyle w:val="af2"/>
                <w:rFonts w:ascii="仿宋" w:eastAsia="仿宋" w:hAnsi="仿宋"/>
                <w:b/>
                <w:noProof/>
              </w:rPr>
              <w:t>（二）意见征询阶段</w:t>
            </w:r>
            <w:r>
              <w:rPr>
                <w:noProof/>
              </w:rPr>
              <w:tab/>
            </w:r>
            <w:r>
              <w:rPr>
                <w:noProof/>
              </w:rPr>
              <w:fldChar w:fldCharType="begin"/>
            </w:r>
            <w:r>
              <w:rPr>
                <w:noProof/>
              </w:rPr>
              <w:instrText xml:space="preserve"> PAGEREF _Toc187067315 \h </w:instrText>
            </w:r>
            <w:r>
              <w:rPr>
                <w:noProof/>
              </w:rPr>
            </w:r>
            <w:r>
              <w:rPr>
                <w:noProof/>
              </w:rPr>
              <w:fldChar w:fldCharType="separate"/>
            </w:r>
            <w:r>
              <w:rPr>
                <w:noProof/>
              </w:rPr>
              <w:t>5</w:t>
            </w:r>
            <w:r>
              <w:rPr>
                <w:noProof/>
              </w:rPr>
              <w:fldChar w:fldCharType="end"/>
            </w:r>
          </w:hyperlink>
        </w:p>
        <w:p w14:paraId="3CB1ACE1" w14:textId="0A733360" w:rsidR="00954ECC" w:rsidRDefault="00954ECC" w:rsidP="00954ECC">
          <w:pPr>
            <w:pStyle w:val="TOC2"/>
            <w:tabs>
              <w:tab w:val="right" w:leader="dot" w:pos="8296"/>
            </w:tabs>
            <w:spacing w:line="360" w:lineRule="auto"/>
            <w:rPr>
              <w:rFonts w:asciiTheme="minorHAnsi" w:eastAsiaTheme="minorEastAsia" w:hAnsiTheme="minorHAnsi" w:cstheme="minorBidi"/>
              <w:noProof/>
              <w:szCs w:val="24"/>
            </w:rPr>
          </w:pPr>
          <w:hyperlink w:anchor="_Toc187067316" w:history="1">
            <w:r w:rsidRPr="003D5D1C">
              <w:rPr>
                <w:rStyle w:val="af2"/>
                <w:rFonts w:ascii="仿宋" w:eastAsia="仿宋" w:hAnsi="仿宋"/>
                <w:b/>
                <w:noProof/>
              </w:rPr>
              <w:t>（三）送审阶段</w:t>
            </w:r>
            <w:r>
              <w:rPr>
                <w:noProof/>
              </w:rPr>
              <w:tab/>
            </w:r>
            <w:r>
              <w:rPr>
                <w:noProof/>
              </w:rPr>
              <w:fldChar w:fldCharType="begin"/>
            </w:r>
            <w:r>
              <w:rPr>
                <w:noProof/>
              </w:rPr>
              <w:instrText xml:space="preserve"> PAGEREF _Toc187067316 \h </w:instrText>
            </w:r>
            <w:r>
              <w:rPr>
                <w:noProof/>
              </w:rPr>
            </w:r>
            <w:r>
              <w:rPr>
                <w:noProof/>
              </w:rPr>
              <w:fldChar w:fldCharType="separate"/>
            </w:r>
            <w:r>
              <w:rPr>
                <w:noProof/>
              </w:rPr>
              <w:t>6</w:t>
            </w:r>
            <w:r>
              <w:rPr>
                <w:noProof/>
              </w:rPr>
              <w:fldChar w:fldCharType="end"/>
            </w:r>
          </w:hyperlink>
        </w:p>
        <w:p w14:paraId="07421154" w14:textId="3827BAED"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17" w:history="1">
            <w:r w:rsidRPr="003D5D1C">
              <w:rPr>
                <w:rStyle w:val="af2"/>
                <w:rFonts w:eastAsia="黑体"/>
                <w:b/>
                <w:bCs/>
                <w:noProof/>
              </w:rPr>
              <w:t>四、编制原则</w:t>
            </w:r>
            <w:r>
              <w:rPr>
                <w:noProof/>
              </w:rPr>
              <w:tab/>
            </w:r>
            <w:r>
              <w:rPr>
                <w:noProof/>
              </w:rPr>
              <w:fldChar w:fldCharType="begin"/>
            </w:r>
            <w:r>
              <w:rPr>
                <w:noProof/>
              </w:rPr>
              <w:instrText xml:space="preserve"> PAGEREF _Toc187067317 \h </w:instrText>
            </w:r>
            <w:r>
              <w:rPr>
                <w:noProof/>
              </w:rPr>
            </w:r>
            <w:r>
              <w:rPr>
                <w:noProof/>
              </w:rPr>
              <w:fldChar w:fldCharType="separate"/>
            </w:r>
            <w:r>
              <w:rPr>
                <w:noProof/>
              </w:rPr>
              <w:t>6</w:t>
            </w:r>
            <w:r>
              <w:rPr>
                <w:noProof/>
              </w:rPr>
              <w:fldChar w:fldCharType="end"/>
            </w:r>
          </w:hyperlink>
        </w:p>
        <w:p w14:paraId="0C9F71FA" w14:textId="12CD5474"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18" w:history="1">
            <w:r w:rsidRPr="003D5D1C">
              <w:rPr>
                <w:rStyle w:val="af2"/>
                <w:rFonts w:eastAsia="黑体"/>
                <w:b/>
                <w:bCs/>
                <w:noProof/>
              </w:rPr>
              <w:t>五、标准的主要技术内容</w:t>
            </w:r>
            <w:r>
              <w:rPr>
                <w:noProof/>
              </w:rPr>
              <w:tab/>
            </w:r>
            <w:r>
              <w:rPr>
                <w:noProof/>
              </w:rPr>
              <w:fldChar w:fldCharType="begin"/>
            </w:r>
            <w:r>
              <w:rPr>
                <w:noProof/>
              </w:rPr>
              <w:instrText xml:space="preserve"> PAGEREF _Toc187067318 \h </w:instrText>
            </w:r>
            <w:r>
              <w:rPr>
                <w:noProof/>
              </w:rPr>
            </w:r>
            <w:r>
              <w:rPr>
                <w:noProof/>
              </w:rPr>
              <w:fldChar w:fldCharType="separate"/>
            </w:r>
            <w:r>
              <w:rPr>
                <w:noProof/>
              </w:rPr>
              <w:t>7</w:t>
            </w:r>
            <w:r>
              <w:rPr>
                <w:noProof/>
              </w:rPr>
              <w:fldChar w:fldCharType="end"/>
            </w:r>
          </w:hyperlink>
        </w:p>
        <w:p w14:paraId="5BE4289C" w14:textId="3097B0FE" w:rsidR="00954ECC" w:rsidRDefault="00954ECC" w:rsidP="00954ECC">
          <w:pPr>
            <w:pStyle w:val="TOC2"/>
            <w:tabs>
              <w:tab w:val="right" w:leader="dot" w:pos="8296"/>
            </w:tabs>
            <w:spacing w:line="360" w:lineRule="auto"/>
            <w:rPr>
              <w:rFonts w:asciiTheme="minorHAnsi" w:eastAsiaTheme="minorEastAsia" w:hAnsiTheme="minorHAnsi" w:cstheme="minorBidi"/>
              <w:noProof/>
              <w:szCs w:val="24"/>
            </w:rPr>
          </w:pPr>
          <w:hyperlink w:anchor="_Toc187067319" w:history="1">
            <w:r w:rsidRPr="003D5D1C">
              <w:rPr>
                <w:rStyle w:val="af2"/>
                <w:rFonts w:ascii="仿宋" w:eastAsia="仿宋" w:hAnsi="仿宋"/>
                <w:b/>
                <w:noProof/>
              </w:rPr>
              <w:t>（一）结构框架</w:t>
            </w:r>
            <w:r>
              <w:rPr>
                <w:noProof/>
              </w:rPr>
              <w:tab/>
            </w:r>
            <w:r>
              <w:rPr>
                <w:noProof/>
              </w:rPr>
              <w:fldChar w:fldCharType="begin"/>
            </w:r>
            <w:r>
              <w:rPr>
                <w:noProof/>
              </w:rPr>
              <w:instrText xml:space="preserve"> PAGEREF _Toc187067319 \h </w:instrText>
            </w:r>
            <w:r>
              <w:rPr>
                <w:noProof/>
              </w:rPr>
            </w:r>
            <w:r>
              <w:rPr>
                <w:noProof/>
              </w:rPr>
              <w:fldChar w:fldCharType="separate"/>
            </w:r>
            <w:r>
              <w:rPr>
                <w:noProof/>
              </w:rPr>
              <w:t>7</w:t>
            </w:r>
            <w:r>
              <w:rPr>
                <w:noProof/>
              </w:rPr>
              <w:fldChar w:fldCharType="end"/>
            </w:r>
          </w:hyperlink>
        </w:p>
        <w:p w14:paraId="5AF6C9A1" w14:textId="1A07E144" w:rsidR="00954ECC" w:rsidRDefault="00954ECC" w:rsidP="00954ECC">
          <w:pPr>
            <w:pStyle w:val="TOC2"/>
            <w:tabs>
              <w:tab w:val="right" w:leader="dot" w:pos="8296"/>
            </w:tabs>
            <w:spacing w:line="360" w:lineRule="auto"/>
            <w:rPr>
              <w:rFonts w:asciiTheme="minorHAnsi" w:eastAsiaTheme="minorEastAsia" w:hAnsiTheme="minorHAnsi" w:cstheme="minorBidi"/>
              <w:noProof/>
              <w:szCs w:val="24"/>
            </w:rPr>
          </w:pPr>
          <w:hyperlink w:anchor="_Toc187067320" w:history="1">
            <w:r w:rsidRPr="003D5D1C">
              <w:rPr>
                <w:rStyle w:val="af2"/>
                <w:rFonts w:ascii="仿宋" w:eastAsia="仿宋" w:hAnsi="仿宋"/>
                <w:b/>
                <w:noProof/>
              </w:rPr>
              <w:t>（二）主要条款</w:t>
            </w:r>
            <w:r>
              <w:rPr>
                <w:noProof/>
              </w:rPr>
              <w:tab/>
            </w:r>
            <w:r>
              <w:rPr>
                <w:noProof/>
              </w:rPr>
              <w:fldChar w:fldCharType="begin"/>
            </w:r>
            <w:r>
              <w:rPr>
                <w:noProof/>
              </w:rPr>
              <w:instrText xml:space="preserve"> PAGEREF _Toc187067320 \h </w:instrText>
            </w:r>
            <w:r>
              <w:rPr>
                <w:noProof/>
              </w:rPr>
            </w:r>
            <w:r>
              <w:rPr>
                <w:noProof/>
              </w:rPr>
              <w:fldChar w:fldCharType="separate"/>
            </w:r>
            <w:r>
              <w:rPr>
                <w:noProof/>
              </w:rPr>
              <w:t>7</w:t>
            </w:r>
            <w:r>
              <w:rPr>
                <w:noProof/>
              </w:rPr>
              <w:fldChar w:fldCharType="end"/>
            </w:r>
          </w:hyperlink>
        </w:p>
        <w:p w14:paraId="48A200FA" w14:textId="6694CD7A"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21" w:history="1">
            <w:r w:rsidRPr="003D5D1C">
              <w:rPr>
                <w:rStyle w:val="af2"/>
                <w:rFonts w:eastAsia="黑体"/>
                <w:b/>
                <w:bCs/>
                <w:noProof/>
              </w:rPr>
              <w:t>六、与国内外同类标准技术内容的对比情况</w:t>
            </w:r>
            <w:r>
              <w:rPr>
                <w:noProof/>
              </w:rPr>
              <w:tab/>
            </w:r>
            <w:r>
              <w:rPr>
                <w:noProof/>
              </w:rPr>
              <w:fldChar w:fldCharType="begin"/>
            </w:r>
            <w:r>
              <w:rPr>
                <w:noProof/>
              </w:rPr>
              <w:instrText xml:space="preserve"> PAGEREF _Toc187067321 \h </w:instrText>
            </w:r>
            <w:r>
              <w:rPr>
                <w:noProof/>
              </w:rPr>
            </w:r>
            <w:r>
              <w:rPr>
                <w:noProof/>
              </w:rPr>
              <w:fldChar w:fldCharType="separate"/>
            </w:r>
            <w:r>
              <w:rPr>
                <w:noProof/>
              </w:rPr>
              <w:t>20</w:t>
            </w:r>
            <w:r>
              <w:rPr>
                <w:noProof/>
              </w:rPr>
              <w:fldChar w:fldCharType="end"/>
            </w:r>
          </w:hyperlink>
        </w:p>
        <w:p w14:paraId="0A0C4859" w14:textId="27D1AF8A" w:rsidR="00954ECC" w:rsidRDefault="00954ECC" w:rsidP="00954ECC">
          <w:pPr>
            <w:pStyle w:val="TOC2"/>
            <w:tabs>
              <w:tab w:val="right" w:leader="dot" w:pos="8296"/>
            </w:tabs>
            <w:spacing w:line="360" w:lineRule="auto"/>
            <w:rPr>
              <w:rFonts w:asciiTheme="minorHAnsi" w:eastAsiaTheme="minorEastAsia" w:hAnsiTheme="minorHAnsi" w:cstheme="minorBidi"/>
              <w:noProof/>
              <w:szCs w:val="24"/>
            </w:rPr>
          </w:pPr>
          <w:hyperlink w:anchor="_Toc187067322" w:history="1">
            <w:r w:rsidRPr="003D5D1C">
              <w:rPr>
                <w:rStyle w:val="af2"/>
                <w:rFonts w:ascii="仿宋" w:eastAsia="仿宋" w:hAnsi="仿宋"/>
                <w:b/>
                <w:noProof/>
              </w:rPr>
              <w:t>（一）国际、国外同类标准的采用及对比分析</w:t>
            </w:r>
            <w:r>
              <w:rPr>
                <w:noProof/>
              </w:rPr>
              <w:tab/>
            </w:r>
            <w:r>
              <w:rPr>
                <w:noProof/>
              </w:rPr>
              <w:fldChar w:fldCharType="begin"/>
            </w:r>
            <w:r>
              <w:rPr>
                <w:noProof/>
              </w:rPr>
              <w:instrText xml:space="preserve"> PAGEREF _Toc187067322 \h </w:instrText>
            </w:r>
            <w:r>
              <w:rPr>
                <w:noProof/>
              </w:rPr>
            </w:r>
            <w:r>
              <w:rPr>
                <w:noProof/>
              </w:rPr>
              <w:fldChar w:fldCharType="separate"/>
            </w:r>
            <w:r>
              <w:rPr>
                <w:noProof/>
              </w:rPr>
              <w:t>21</w:t>
            </w:r>
            <w:r>
              <w:rPr>
                <w:noProof/>
              </w:rPr>
              <w:fldChar w:fldCharType="end"/>
            </w:r>
          </w:hyperlink>
        </w:p>
        <w:p w14:paraId="1440236D" w14:textId="06E0BBD2" w:rsidR="00954ECC" w:rsidRDefault="00954ECC" w:rsidP="00954ECC">
          <w:pPr>
            <w:pStyle w:val="TOC2"/>
            <w:tabs>
              <w:tab w:val="right" w:leader="dot" w:pos="8296"/>
            </w:tabs>
            <w:spacing w:line="360" w:lineRule="auto"/>
            <w:rPr>
              <w:rFonts w:asciiTheme="minorHAnsi" w:eastAsiaTheme="minorEastAsia" w:hAnsiTheme="minorHAnsi" w:cstheme="minorBidi"/>
              <w:noProof/>
              <w:szCs w:val="24"/>
            </w:rPr>
          </w:pPr>
          <w:hyperlink w:anchor="_Toc187067323" w:history="1">
            <w:r w:rsidRPr="003D5D1C">
              <w:rPr>
                <w:rStyle w:val="af2"/>
                <w:rFonts w:ascii="仿宋" w:eastAsia="仿宋" w:hAnsi="仿宋"/>
                <w:b/>
                <w:noProof/>
              </w:rPr>
              <w:t>（二）国家标准、行业标准的采用及对比分析</w:t>
            </w:r>
            <w:r>
              <w:rPr>
                <w:noProof/>
              </w:rPr>
              <w:tab/>
            </w:r>
            <w:r>
              <w:rPr>
                <w:noProof/>
              </w:rPr>
              <w:fldChar w:fldCharType="begin"/>
            </w:r>
            <w:r>
              <w:rPr>
                <w:noProof/>
              </w:rPr>
              <w:instrText xml:space="preserve"> PAGEREF _Toc187067323 \h </w:instrText>
            </w:r>
            <w:r>
              <w:rPr>
                <w:noProof/>
              </w:rPr>
            </w:r>
            <w:r>
              <w:rPr>
                <w:noProof/>
              </w:rPr>
              <w:fldChar w:fldCharType="separate"/>
            </w:r>
            <w:r>
              <w:rPr>
                <w:noProof/>
              </w:rPr>
              <w:t>22</w:t>
            </w:r>
            <w:r>
              <w:rPr>
                <w:noProof/>
              </w:rPr>
              <w:fldChar w:fldCharType="end"/>
            </w:r>
          </w:hyperlink>
        </w:p>
        <w:p w14:paraId="7B9BBCB3" w14:textId="5FE5E10F"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24" w:history="1">
            <w:r w:rsidRPr="003D5D1C">
              <w:rPr>
                <w:rStyle w:val="af2"/>
                <w:rFonts w:eastAsia="黑体"/>
                <w:b/>
                <w:bCs/>
                <w:noProof/>
              </w:rPr>
              <w:t>七、与有关法律、行政法规及相关标准的关系</w:t>
            </w:r>
            <w:r>
              <w:rPr>
                <w:noProof/>
              </w:rPr>
              <w:tab/>
            </w:r>
            <w:r>
              <w:rPr>
                <w:noProof/>
              </w:rPr>
              <w:fldChar w:fldCharType="begin"/>
            </w:r>
            <w:r>
              <w:rPr>
                <w:noProof/>
              </w:rPr>
              <w:instrText xml:space="preserve"> PAGEREF _Toc187067324 \h </w:instrText>
            </w:r>
            <w:r>
              <w:rPr>
                <w:noProof/>
              </w:rPr>
            </w:r>
            <w:r>
              <w:rPr>
                <w:noProof/>
              </w:rPr>
              <w:fldChar w:fldCharType="separate"/>
            </w:r>
            <w:r>
              <w:rPr>
                <w:noProof/>
              </w:rPr>
              <w:t>35</w:t>
            </w:r>
            <w:r>
              <w:rPr>
                <w:noProof/>
              </w:rPr>
              <w:fldChar w:fldCharType="end"/>
            </w:r>
          </w:hyperlink>
        </w:p>
        <w:p w14:paraId="20A31065" w14:textId="77AEAD9F"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25" w:history="1">
            <w:r w:rsidRPr="003D5D1C">
              <w:rPr>
                <w:rStyle w:val="af2"/>
                <w:rFonts w:eastAsia="黑体"/>
                <w:b/>
                <w:bCs/>
                <w:noProof/>
              </w:rPr>
              <w:t>八、重大分歧意见的处理经过和依据</w:t>
            </w:r>
            <w:r>
              <w:rPr>
                <w:noProof/>
              </w:rPr>
              <w:tab/>
            </w:r>
            <w:r>
              <w:rPr>
                <w:noProof/>
              </w:rPr>
              <w:fldChar w:fldCharType="begin"/>
            </w:r>
            <w:r>
              <w:rPr>
                <w:noProof/>
              </w:rPr>
              <w:instrText xml:space="preserve"> PAGEREF _Toc187067325 \h </w:instrText>
            </w:r>
            <w:r>
              <w:rPr>
                <w:noProof/>
              </w:rPr>
            </w:r>
            <w:r>
              <w:rPr>
                <w:noProof/>
              </w:rPr>
              <w:fldChar w:fldCharType="separate"/>
            </w:r>
            <w:r>
              <w:rPr>
                <w:noProof/>
              </w:rPr>
              <w:t>35</w:t>
            </w:r>
            <w:r>
              <w:rPr>
                <w:noProof/>
              </w:rPr>
              <w:fldChar w:fldCharType="end"/>
            </w:r>
          </w:hyperlink>
        </w:p>
        <w:p w14:paraId="2AB8C5CA" w14:textId="530E3052"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26" w:history="1">
            <w:r w:rsidRPr="003D5D1C">
              <w:rPr>
                <w:rStyle w:val="af2"/>
                <w:rFonts w:eastAsia="黑体"/>
                <w:b/>
                <w:bCs/>
                <w:noProof/>
              </w:rPr>
              <w:t>九、实施标准的措施建议</w:t>
            </w:r>
            <w:r>
              <w:rPr>
                <w:noProof/>
              </w:rPr>
              <w:tab/>
            </w:r>
            <w:r>
              <w:rPr>
                <w:noProof/>
              </w:rPr>
              <w:fldChar w:fldCharType="begin"/>
            </w:r>
            <w:r>
              <w:rPr>
                <w:noProof/>
              </w:rPr>
              <w:instrText xml:space="preserve"> PAGEREF _Toc187067326 \h </w:instrText>
            </w:r>
            <w:r>
              <w:rPr>
                <w:noProof/>
              </w:rPr>
            </w:r>
            <w:r>
              <w:rPr>
                <w:noProof/>
              </w:rPr>
              <w:fldChar w:fldCharType="separate"/>
            </w:r>
            <w:r>
              <w:rPr>
                <w:noProof/>
              </w:rPr>
              <w:t>35</w:t>
            </w:r>
            <w:r>
              <w:rPr>
                <w:noProof/>
              </w:rPr>
              <w:fldChar w:fldCharType="end"/>
            </w:r>
          </w:hyperlink>
        </w:p>
        <w:p w14:paraId="0D889AB9" w14:textId="63F897A8" w:rsidR="00954ECC" w:rsidRDefault="00954ECC" w:rsidP="00954ECC">
          <w:pPr>
            <w:pStyle w:val="TOC1"/>
            <w:tabs>
              <w:tab w:val="right" w:leader="dot" w:pos="8296"/>
            </w:tabs>
            <w:spacing w:line="360" w:lineRule="auto"/>
            <w:rPr>
              <w:rFonts w:asciiTheme="minorHAnsi" w:eastAsiaTheme="minorEastAsia" w:hAnsiTheme="minorHAnsi" w:cstheme="minorBidi"/>
              <w:noProof/>
              <w:szCs w:val="24"/>
            </w:rPr>
          </w:pPr>
          <w:hyperlink w:anchor="_Toc187067327" w:history="1">
            <w:r w:rsidRPr="003D5D1C">
              <w:rPr>
                <w:rStyle w:val="af2"/>
                <w:rFonts w:eastAsia="黑体"/>
                <w:b/>
                <w:bCs/>
                <w:noProof/>
              </w:rPr>
              <w:t>十、其他应当说明的事项</w:t>
            </w:r>
            <w:r>
              <w:rPr>
                <w:noProof/>
              </w:rPr>
              <w:tab/>
            </w:r>
            <w:r>
              <w:rPr>
                <w:noProof/>
              </w:rPr>
              <w:fldChar w:fldCharType="begin"/>
            </w:r>
            <w:r>
              <w:rPr>
                <w:noProof/>
              </w:rPr>
              <w:instrText xml:space="preserve"> PAGEREF _Toc187067327 \h </w:instrText>
            </w:r>
            <w:r>
              <w:rPr>
                <w:noProof/>
              </w:rPr>
            </w:r>
            <w:r>
              <w:rPr>
                <w:noProof/>
              </w:rPr>
              <w:fldChar w:fldCharType="separate"/>
            </w:r>
            <w:r>
              <w:rPr>
                <w:noProof/>
              </w:rPr>
              <w:t>35</w:t>
            </w:r>
            <w:r>
              <w:rPr>
                <w:noProof/>
              </w:rPr>
              <w:fldChar w:fldCharType="end"/>
            </w:r>
          </w:hyperlink>
        </w:p>
        <w:p w14:paraId="2535BC22" w14:textId="77777777" w:rsidR="000E76B9" w:rsidRDefault="00A86600" w:rsidP="00954ECC">
          <w:pPr>
            <w:adjustRightInd w:val="0"/>
            <w:snapToGrid w:val="0"/>
            <w:spacing w:line="360" w:lineRule="auto"/>
            <w:rPr>
              <w:b/>
              <w:sz w:val="32"/>
              <w:szCs w:val="32"/>
            </w:rPr>
          </w:pPr>
          <w:r>
            <w:rPr>
              <w:b/>
              <w:sz w:val="24"/>
              <w:szCs w:val="24"/>
            </w:rPr>
            <w:fldChar w:fldCharType="end"/>
          </w:r>
        </w:p>
      </w:sdtContent>
    </w:sdt>
    <w:p w14:paraId="197F1AC1" w14:textId="77777777" w:rsidR="000E76B9" w:rsidRDefault="000E76B9">
      <w:pPr>
        <w:adjustRightInd w:val="0"/>
        <w:snapToGrid w:val="0"/>
        <w:spacing w:line="360" w:lineRule="auto"/>
        <w:rPr>
          <w:b/>
          <w:szCs w:val="24"/>
        </w:rPr>
        <w:sectPr w:rsidR="000E76B9">
          <w:footerReference w:type="default" r:id="rId10"/>
          <w:pgSz w:w="11906" w:h="16838"/>
          <w:pgMar w:top="1440" w:right="1800" w:bottom="1440" w:left="1800" w:header="851" w:footer="992" w:gutter="0"/>
          <w:pgNumType w:start="1"/>
          <w:cols w:space="425"/>
          <w:docGrid w:type="lines" w:linePitch="312"/>
        </w:sectPr>
      </w:pPr>
    </w:p>
    <w:p w14:paraId="302D1D0C" w14:textId="77777777" w:rsidR="00757C82" w:rsidRDefault="00757C82" w:rsidP="00757C82">
      <w:pPr>
        <w:spacing w:line="360" w:lineRule="auto"/>
        <w:jc w:val="center"/>
        <w:outlineLvl w:val="0"/>
        <w:rPr>
          <w:rFonts w:eastAsia="黑体"/>
          <w:b/>
          <w:bCs/>
          <w:sz w:val="36"/>
          <w:szCs w:val="36"/>
        </w:rPr>
      </w:pPr>
      <w:bookmarkStart w:id="4" w:name="_Toc187067310"/>
      <w:r>
        <w:rPr>
          <w:rFonts w:eastAsia="黑体"/>
          <w:b/>
          <w:bCs/>
          <w:sz w:val="36"/>
          <w:szCs w:val="36"/>
        </w:rPr>
        <w:lastRenderedPageBreak/>
        <w:t>《动物无害化处理恶臭（异味）污染物控制规范》</w:t>
      </w:r>
      <w:bookmarkEnd w:id="4"/>
    </w:p>
    <w:p w14:paraId="3F45F344" w14:textId="343957E2" w:rsidR="00757C82" w:rsidRPr="00850642" w:rsidRDefault="00757C82" w:rsidP="00850642">
      <w:pPr>
        <w:spacing w:line="360" w:lineRule="auto"/>
        <w:jc w:val="center"/>
        <w:rPr>
          <w:rFonts w:eastAsia="黑体"/>
          <w:b/>
          <w:bCs/>
          <w:sz w:val="36"/>
          <w:szCs w:val="36"/>
        </w:rPr>
      </w:pPr>
      <w:r>
        <w:rPr>
          <w:rFonts w:eastAsia="黑体"/>
          <w:b/>
          <w:bCs/>
          <w:sz w:val="36"/>
          <w:szCs w:val="36"/>
        </w:rPr>
        <w:t>（</w:t>
      </w:r>
      <w:r w:rsidR="0079089A">
        <w:rPr>
          <w:rFonts w:eastAsia="黑体" w:hint="eastAsia"/>
          <w:b/>
          <w:bCs/>
          <w:sz w:val="36"/>
          <w:szCs w:val="36"/>
        </w:rPr>
        <w:t>征求意见</w:t>
      </w:r>
      <w:r>
        <w:rPr>
          <w:rFonts w:eastAsia="黑体"/>
          <w:b/>
          <w:bCs/>
          <w:sz w:val="36"/>
          <w:szCs w:val="36"/>
        </w:rPr>
        <w:t>稿）编制说明</w:t>
      </w:r>
    </w:p>
    <w:p w14:paraId="3C320CA5" w14:textId="77777777" w:rsidR="000E76B9" w:rsidRDefault="00A86600">
      <w:pPr>
        <w:adjustRightInd w:val="0"/>
        <w:snapToGrid w:val="0"/>
        <w:spacing w:line="360" w:lineRule="auto"/>
        <w:ind w:firstLineChars="200" w:firstLine="643"/>
        <w:outlineLvl w:val="0"/>
        <w:rPr>
          <w:rFonts w:eastAsia="黑体"/>
          <w:b/>
          <w:sz w:val="32"/>
          <w:szCs w:val="32"/>
        </w:rPr>
      </w:pPr>
      <w:bookmarkStart w:id="5" w:name="_Toc187067311"/>
      <w:r>
        <w:rPr>
          <w:rFonts w:eastAsia="黑体"/>
          <w:b/>
          <w:sz w:val="32"/>
          <w:szCs w:val="32"/>
        </w:rPr>
        <w:t>一、</w:t>
      </w:r>
      <w:bookmarkEnd w:id="2"/>
      <w:bookmarkEnd w:id="3"/>
      <w:r>
        <w:rPr>
          <w:rFonts w:eastAsia="黑体"/>
          <w:b/>
          <w:sz w:val="32"/>
          <w:szCs w:val="32"/>
        </w:rPr>
        <w:t>任务来源</w:t>
      </w:r>
      <w:bookmarkEnd w:id="5"/>
    </w:p>
    <w:p w14:paraId="6D293A77" w14:textId="51AABA26" w:rsidR="00553AF6" w:rsidRDefault="00553AF6" w:rsidP="00216EE8">
      <w:pPr>
        <w:adjustRightInd w:val="0"/>
        <w:snapToGrid w:val="0"/>
        <w:spacing w:line="360" w:lineRule="auto"/>
        <w:ind w:firstLineChars="200" w:firstLine="600"/>
        <w:rPr>
          <w:rFonts w:eastAsia="仿宋"/>
          <w:sz w:val="30"/>
          <w:szCs w:val="30"/>
        </w:rPr>
      </w:pPr>
      <w:r w:rsidRPr="00FD36BE">
        <w:rPr>
          <w:rFonts w:eastAsia="仿宋" w:hint="eastAsia"/>
          <w:sz w:val="30"/>
          <w:szCs w:val="30"/>
        </w:rPr>
        <w:t>本标准由上海市农业农村委员会提出，由上海市畜牧业标准化技术委员会归口。</w:t>
      </w:r>
      <w:r w:rsidR="00FD36BE" w:rsidRPr="005F7C5E">
        <w:rPr>
          <w:rFonts w:eastAsia="仿宋" w:hint="eastAsia"/>
          <w:sz w:val="30"/>
          <w:szCs w:val="30"/>
        </w:rPr>
        <w:t>202</w:t>
      </w:r>
      <w:r w:rsidR="00FD36BE" w:rsidRPr="00954ECC">
        <w:rPr>
          <w:rFonts w:eastAsia="仿宋"/>
          <w:sz w:val="30"/>
          <w:szCs w:val="30"/>
        </w:rPr>
        <w:t>3</w:t>
      </w:r>
      <w:r w:rsidR="00FD36BE" w:rsidRPr="00FD36BE">
        <w:rPr>
          <w:rFonts w:eastAsia="仿宋" w:hint="eastAsia"/>
          <w:sz w:val="30"/>
          <w:szCs w:val="30"/>
        </w:rPr>
        <w:t>年</w:t>
      </w:r>
      <w:r w:rsidR="00FD36BE" w:rsidRPr="00954ECC">
        <w:rPr>
          <w:rFonts w:eastAsia="仿宋"/>
          <w:sz w:val="30"/>
          <w:szCs w:val="30"/>
        </w:rPr>
        <w:t>8</w:t>
      </w:r>
      <w:r w:rsidR="00FD36BE" w:rsidRPr="00FD36BE">
        <w:rPr>
          <w:rFonts w:eastAsia="仿宋" w:hint="eastAsia"/>
          <w:sz w:val="30"/>
          <w:szCs w:val="30"/>
        </w:rPr>
        <w:t>月，上海市市场监督管理局印发《</w:t>
      </w:r>
      <w:r w:rsidR="00FD36BE" w:rsidRPr="005F7C5E">
        <w:rPr>
          <w:rFonts w:eastAsia="仿宋" w:hint="eastAsia"/>
          <w:sz w:val="30"/>
          <w:szCs w:val="30"/>
        </w:rPr>
        <w:t>202</w:t>
      </w:r>
      <w:r w:rsidR="00FD36BE" w:rsidRPr="00103CDC">
        <w:rPr>
          <w:rFonts w:eastAsia="仿宋"/>
          <w:sz w:val="30"/>
          <w:szCs w:val="30"/>
        </w:rPr>
        <w:t>3</w:t>
      </w:r>
      <w:r w:rsidR="00FD36BE" w:rsidRPr="00103CDC">
        <w:rPr>
          <w:rFonts w:eastAsia="仿宋" w:hint="eastAsia"/>
          <w:sz w:val="30"/>
          <w:szCs w:val="30"/>
        </w:rPr>
        <w:t>年度上海市地方标准制（修）订项目申请指南》，市动物无</w:t>
      </w:r>
      <w:r w:rsidR="00FD36BE" w:rsidRPr="00954ECC">
        <w:rPr>
          <w:rFonts w:eastAsia="仿宋" w:hint="eastAsia"/>
          <w:sz w:val="30"/>
          <w:szCs w:val="30"/>
        </w:rPr>
        <w:t>害化处理中心申请了《动物无害化恶臭（异味）污染物控制规范》项目立项</w:t>
      </w:r>
      <w:r w:rsidR="00A86600" w:rsidRPr="00954ECC">
        <w:rPr>
          <w:rFonts w:eastAsia="仿宋"/>
          <w:sz w:val="30"/>
          <w:szCs w:val="30"/>
        </w:rPr>
        <w:t>。</w:t>
      </w:r>
      <w:r w:rsidRPr="00954ECC">
        <w:rPr>
          <w:rFonts w:eastAsia="仿宋" w:hint="eastAsia"/>
          <w:sz w:val="30"/>
          <w:szCs w:val="30"/>
        </w:rPr>
        <w:t>2023</w:t>
      </w:r>
      <w:r w:rsidRPr="00954ECC">
        <w:rPr>
          <w:rFonts w:eastAsia="仿宋" w:hint="eastAsia"/>
          <w:sz w:val="30"/>
          <w:szCs w:val="30"/>
        </w:rPr>
        <w:t>年</w:t>
      </w:r>
      <w:r w:rsidRPr="00954ECC">
        <w:rPr>
          <w:rFonts w:eastAsia="仿宋" w:hint="eastAsia"/>
          <w:sz w:val="30"/>
          <w:szCs w:val="30"/>
        </w:rPr>
        <w:t>12</w:t>
      </w:r>
      <w:r w:rsidRPr="00954ECC">
        <w:rPr>
          <w:rFonts w:eastAsia="仿宋" w:hint="eastAsia"/>
          <w:sz w:val="30"/>
          <w:szCs w:val="30"/>
        </w:rPr>
        <w:t>月</w:t>
      </w:r>
      <w:r w:rsidRPr="00954ECC">
        <w:rPr>
          <w:rFonts w:eastAsia="仿宋" w:hint="eastAsia"/>
          <w:sz w:val="30"/>
          <w:szCs w:val="30"/>
        </w:rPr>
        <w:t>4</w:t>
      </w:r>
      <w:r w:rsidRPr="00954ECC">
        <w:rPr>
          <w:rFonts w:eastAsia="仿宋" w:hint="eastAsia"/>
          <w:sz w:val="30"/>
          <w:szCs w:val="30"/>
        </w:rPr>
        <w:t>日，上海市市场监督管理局印发《上海市市场监督管理局关于下达</w:t>
      </w:r>
      <w:r w:rsidRPr="00954ECC">
        <w:rPr>
          <w:rFonts w:eastAsia="仿宋" w:hint="eastAsia"/>
          <w:sz w:val="30"/>
          <w:szCs w:val="30"/>
        </w:rPr>
        <w:t>2023</w:t>
      </w:r>
      <w:r w:rsidRPr="00954ECC">
        <w:rPr>
          <w:rFonts w:eastAsia="仿宋" w:hint="eastAsia"/>
          <w:sz w:val="30"/>
          <w:szCs w:val="30"/>
        </w:rPr>
        <w:t>年度第三批上海市地方标准制修订项目计划的通知》（沪市监标计</w:t>
      </w:r>
      <w:r w:rsidRPr="00954ECC">
        <w:rPr>
          <w:rFonts w:eastAsia="仿宋" w:hint="eastAsia"/>
          <w:sz w:val="30"/>
          <w:szCs w:val="30"/>
        </w:rPr>
        <w:t>[</w:t>
      </w:r>
      <w:r w:rsidRPr="00954ECC">
        <w:rPr>
          <w:rFonts w:eastAsia="仿宋"/>
          <w:sz w:val="30"/>
          <w:szCs w:val="30"/>
        </w:rPr>
        <w:t>2023</w:t>
      </w:r>
      <w:r w:rsidRPr="00954ECC">
        <w:rPr>
          <w:rFonts w:eastAsia="仿宋" w:hint="eastAsia"/>
          <w:sz w:val="30"/>
          <w:szCs w:val="30"/>
        </w:rPr>
        <w:t>]</w:t>
      </w:r>
      <w:r w:rsidRPr="00954ECC">
        <w:rPr>
          <w:rFonts w:eastAsia="仿宋"/>
          <w:sz w:val="30"/>
          <w:szCs w:val="30"/>
        </w:rPr>
        <w:t>561</w:t>
      </w:r>
      <w:r w:rsidRPr="00954ECC">
        <w:rPr>
          <w:rFonts w:eastAsia="仿宋" w:hint="eastAsia"/>
          <w:sz w:val="30"/>
          <w:szCs w:val="30"/>
        </w:rPr>
        <w:t>号），由上海市动物无害化处理中心作为地方标准《动物无害化恶臭（异味）污染物控制规范》编制的主要起草单位。</w:t>
      </w:r>
    </w:p>
    <w:p w14:paraId="04D6BAAD" w14:textId="783874D9" w:rsidR="00216EE8" w:rsidRDefault="00EB6651" w:rsidP="00216EE8">
      <w:pPr>
        <w:adjustRightInd w:val="0"/>
        <w:snapToGrid w:val="0"/>
        <w:spacing w:line="360" w:lineRule="auto"/>
        <w:ind w:firstLineChars="200" w:firstLine="600"/>
        <w:rPr>
          <w:rFonts w:eastAsia="仿宋"/>
          <w:sz w:val="30"/>
          <w:szCs w:val="30"/>
        </w:rPr>
      </w:pPr>
      <w:r>
        <w:rPr>
          <w:rFonts w:eastAsia="仿宋" w:hint="eastAsia"/>
          <w:sz w:val="30"/>
          <w:szCs w:val="30"/>
        </w:rPr>
        <w:t>随后，</w:t>
      </w:r>
      <w:r w:rsidR="00A6607C">
        <w:rPr>
          <w:rFonts w:eastAsia="仿宋" w:hint="eastAsia"/>
          <w:sz w:val="30"/>
          <w:szCs w:val="30"/>
        </w:rPr>
        <w:t>上海市动物无害化处理中心和上海建科环境技术有限公司组建了标准编制组，共同负责标准制订的工作方案编制、标准编写组织实施、专家咨询和论证等工作。</w:t>
      </w:r>
    </w:p>
    <w:p w14:paraId="5AADDE2A" w14:textId="77777777" w:rsidR="000E76B9" w:rsidRDefault="00A86600">
      <w:pPr>
        <w:spacing w:line="360" w:lineRule="auto"/>
        <w:ind w:firstLineChars="200" w:firstLine="643"/>
        <w:jc w:val="left"/>
        <w:outlineLvl w:val="0"/>
        <w:rPr>
          <w:rFonts w:eastAsia="黑体"/>
          <w:b/>
          <w:bCs/>
          <w:sz w:val="32"/>
          <w:szCs w:val="32"/>
        </w:rPr>
      </w:pPr>
      <w:bookmarkStart w:id="6" w:name="_Toc187067312"/>
      <w:r>
        <w:rPr>
          <w:rFonts w:eastAsia="黑体"/>
          <w:b/>
          <w:bCs/>
          <w:sz w:val="32"/>
          <w:szCs w:val="32"/>
        </w:rPr>
        <w:t>二、标准编制目的和意义</w:t>
      </w:r>
      <w:bookmarkEnd w:id="6"/>
    </w:p>
    <w:p w14:paraId="7DE5E1F8" w14:textId="0256CAB2" w:rsidR="000E76B9" w:rsidRDefault="00553AF6" w:rsidP="00FD36BE">
      <w:pPr>
        <w:widowControl/>
        <w:autoSpaceDE w:val="0"/>
        <w:autoSpaceDN w:val="0"/>
        <w:spacing w:line="360" w:lineRule="auto"/>
        <w:ind w:firstLineChars="200" w:firstLine="600"/>
        <w:rPr>
          <w:rFonts w:eastAsia="仿宋"/>
          <w:sz w:val="30"/>
          <w:szCs w:val="30"/>
        </w:rPr>
      </w:pPr>
      <w:r w:rsidRPr="00206FBE">
        <w:rPr>
          <w:rFonts w:eastAsia="仿宋" w:hint="eastAsia"/>
          <w:sz w:val="30"/>
          <w:szCs w:val="30"/>
        </w:rPr>
        <w:t>动物无害化处理关系畜牧业健康发展、生态环境保护和城市公共卫生安全，是无废城市建设的重要组成部分。</w:t>
      </w:r>
      <w:r w:rsidR="00A86600">
        <w:rPr>
          <w:rFonts w:eastAsia="仿宋" w:hint="eastAsia"/>
          <w:sz w:val="30"/>
          <w:szCs w:val="30"/>
        </w:rPr>
        <w:t>目前，上海市已于奉贤和崇明建成动物无害化处理场所，年处理规模</w:t>
      </w:r>
      <w:r w:rsidR="00A86600">
        <w:rPr>
          <w:rFonts w:eastAsia="仿宋" w:hint="eastAsia"/>
          <w:sz w:val="30"/>
          <w:szCs w:val="30"/>
        </w:rPr>
        <w:t>19500t</w:t>
      </w:r>
      <w:r w:rsidR="00A86600">
        <w:rPr>
          <w:rFonts w:eastAsia="仿宋" w:hint="eastAsia"/>
          <w:sz w:val="30"/>
          <w:szCs w:val="30"/>
        </w:rPr>
        <w:t>，近几年年处理量大约在</w:t>
      </w:r>
      <w:r w:rsidR="00A86600">
        <w:rPr>
          <w:rFonts w:eastAsia="仿宋" w:hint="eastAsia"/>
          <w:sz w:val="30"/>
          <w:szCs w:val="30"/>
        </w:rPr>
        <w:t>6000t</w:t>
      </w:r>
      <w:r w:rsidR="00A86600">
        <w:rPr>
          <w:rFonts w:eastAsia="仿宋" w:hint="eastAsia"/>
          <w:sz w:val="30"/>
          <w:szCs w:val="30"/>
        </w:rPr>
        <w:t>左右，实现了动物尸体的规范收运及处理，有效保障了城市公共安全，也为其他城市动物无害化行业的发展提供了示范。</w:t>
      </w:r>
    </w:p>
    <w:p w14:paraId="4890DE8E" w14:textId="78333AB2" w:rsidR="00FD36BE" w:rsidRDefault="00A86600" w:rsidP="00FD36BE">
      <w:pPr>
        <w:adjustRightInd w:val="0"/>
        <w:snapToGrid w:val="0"/>
        <w:spacing w:line="360" w:lineRule="auto"/>
        <w:ind w:firstLineChars="200" w:firstLine="600"/>
        <w:rPr>
          <w:rFonts w:eastAsia="仿宋"/>
          <w:sz w:val="30"/>
          <w:szCs w:val="30"/>
        </w:rPr>
      </w:pPr>
      <w:r>
        <w:rPr>
          <w:rFonts w:eastAsia="仿宋" w:hint="eastAsia"/>
          <w:sz w:val="30"/>
          <w:szCs w:val="30"/>
        </w:rPr>
        <w:t>动物无害化过程涉及收集、转运、贮存、无害化处理、污水</w:t>
      </w:r>
      <w:r>
        <w:rPr>
          <w:rFonts w:eastAsia="仿宋" w:hint="eastAsia"/>
          <w:sz w:val="30"/>
          <w:szCs w:val="30"/>
        </w:rPr>
        <w:lastRenderedPageBreak/>
        <w:t>处理等多个环节，且均有恶臭（异味）产生。若恶臭（异味）收集、处理不当极易污染周边环境，引发公众关注、投诉甚至社会稳定问题，行业管理与发展面临着极大的压力与挑战。</w:t>
      </w:r>
    </w:p>
    <w:p w14:paraId="26EDDDAE"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近年来，国内外针对无害化处理过程中的恶臭污染控制开展了广泛研究，但尚无动物无害化处理行业的恶臭污染控制规范。已建成动物无害化处理设施多参考类似行业的恶臭控制措施或行业经验运行，臭气排放参照《恶臭（异味）污染物排放标准》（</w:t>
      </w:r>
      <w:r>
        <w:rPr>
          <w:rFonts w:eastAsia="仿宋" w:hint="eastAsia"/>
          <w:sz w:val="30"/>
          <w:szCs w:val="30"/>
        </w:rPr>
        <w:t>DB31/1025</w:t>
      </w:r>
      <w:r>
        <w:rPr>
          <w:rFonts w:eastAsia="仿宋" w:hint="eastAsia"/>
          <w:sz w:val="30"/>
          <w:szCs w:val="30"/>
        </w:rPr>
        <w:t>）执行，在控制环节、控制措施、控制参数等多个方面尚未实现恶臭（异味）污染防范的标准化，部分设施也因在设计、施工、运营阶段措施不到位而产生恶臭（异味）污染问题。</w:t>
      </w:r>
    </w:p>
    <w:p w14:paraId="4CDC9E75"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上海市动物无害化处理中心是全国第一家采用焚烧法处理动物尸体的单位。随着无废城市战略的实施，国内动物无害化处理行业规模将不断壮大，处理技术也将日趋成熟，亟需从实现无害化、减量化进一步向更绿色、更环保升级。同时，动物尸体无害化处理过程中产生的恶臭（异味）成分存在一定特异性，除传统的硫化氢和氨外，甲硫醇、二甲二硫和甲基乙基酮等特征因子产生浓度也较高，需有相关标准指引，在污染防治措施设计及实际运营中予以充分关注。因此，制定针对性的行业规范，明确从收集至无害化处理全过程恶臭（异味）的控制措施以及恶臭（异味）排放标准和日常监控要求，规范和引领行业环保、健康发展十分必要。</w:t>
      </w:r>
    </w:p>
    <w:p w14:paraId="154575DB"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lastRenderedPageBreak/>
        <w:t>结合动物无害化行业的特点制定覆盖动物无害化处理全过程的恶臭（异味）污染物控制规范，对于规范动物无害化各环节的设计、施工及运营阶段环保管理，有效控制恶臭（异味）影响，提升动物无害化处理行业的精细化管理水平，落实无废城市战略具有重要意义。</w:t>
      </w:r>
    </w:p>
    <w:p w14:paraId="24C71B3E" w14:textId="77777777" w:rsidR="000E76B9" w:rsidRDefault="00A86600">
      <w:pPr>
        <w:spacing w:line="360" w:lineRule="auto"/>
        <w:ind w:firstLineChars="200" w:firstLine="643"/>
        <w:jc w:val="left"/>
        <w:outlineLvl w:val="0"/>
        <w:rPr>
          <w:rFonts w:eastAsia="黑体"/>
          <w:b/>
          <w:bCs/>
          <w:sz w:val="32"/>
          <w:szCs w:val="32"/>
        </w:rPr>
      </w:pPr>
      <w:bookmarkStart w:id="7" w:name="_Toc187067313"/>
      <w:r>
        <w:rPr>
          <w:rFonts w:eastAsia="黑体"/>
          <w:b/>
          <w:bCs/>
          <w:sz w:val="32"/>
          <w:szCs w:val="32"/>
        </w:rPr>
        <w:t>三、编制过程</w:t>
      </w:r>
      <w:bookmarkEnd w:id="7"/>
    </w:p>
    <w:p w14:paraId="056CD459" w14:textId="1E47B21E" w:rsidR="000E76B9" w:rsidRDefault="00A86600" w:rsidP="00850642">
      <w:pPr>
        <w:adjustRightInd w:val="0"/>
        <w:snapToGrid w:val="0"/>
        <w:spacing w:line="360" w:lineRule="auto"/>
        <w:ind w:firstLineChars="200" w:firstLine="643"/>
        <w:outlineLvl w:val="1"/>
        <w:rPr>
          <w:rFonts w:ascii="仿宋" w:eastAsia="仿宋" w:hAnsi="仿宋" w:hint="eastAsia"/>
          <w:b/>
          <w:sz w:val="32"/>
          <w:szCs w:val="32"/>
        </w:rPr>
      </w:pPr>
      <w:bookmarkStart w:id="8" w:name="_Toc187067314"/>
      <w:r>
        <w:rPr>
          <w:rFonts w:ascii="仿宋" w:eastAsia="仿宋" w:hAnsi="仿宋" w:hint="eastAsia"/>
          <w:b/>
          <w:sz w:val="32"/>
          <w:szCs w:val="32"/>
        </w:rPr>
        <w:t>（一）</w:t>
      </w:r>
      <w:r w:rsidR="00553AF6">
        <w:rPr>
          <w:rFonts w:ascii="仿宋" w:eastAsia="仿宋" w:hAnsi="仿宋" w:hint="eastAsia"/>
          <w:b/>
          <w:sz w:val="32"/>
          <w:szCs w:val="32"/>
        </w:rPr>
        <w:t>起草阶段</w:t>
      </w:r>
      <w:bookmarkEnd w:id="8"/>
      <w:r>
        <w:rPr>
          <w:rFonts w:ascii="仿宋" w:eastAsia="仿宋" w:hAnsi="仿宋" w:hint="eastAsia"/>
          <w:b/>
          <w:sz w:val="32"/>
          <w:szCs w:val="32"/>
        </w:rPr>
        <w:t xml:space="preserve"> </w:t>
      </w:r>
    </w:p>
    <w:p w14:paraId="5B835274" w14:textId="2294DB4E" w:rsidR="00B73313" w:rsidRDefault="00B73313">
      <w:pPr>
        <w:adjustRightInd w:val="0"/>
        <w:snapToGrid w:val="0"/>
        <w:spacing w:line="360" w:lineRule="auto"/>
        <w:ind w:firstLineChars="200" w:firstLine="600"/>
        <w:rPr>
          <w:rFonts w:eastAsia="仿宋"/>
          <w:sz w:val="30"/>
          <w:szCs w:val="30"/>
        </w:rPr>
      </w:pPr>
      <w:r>
        <w:rPr>
          <w:rFonts w:eastAsia="仿宋" w:hint="eastAsia"/>
          <w:sz w:val="30"/>
          <w:szCs w:val="30"/>
        </w:rPr>
        <w:t>2023</w:t>
      </w:r>
      <w:r>
        <w:rPr>
          <w:rFonts w:eastAsia="仿宋" w:hint="eastAsia"/>
          <w:sz w:val="30"/>
          <w:szCs w:val="30"/>
        </w:rPr>
        <w:t>年</w:t>
      </w:r>
      <w:r>
        <w:rPr>
          <w:rFonts w:eastAsia="仿宋" w:hint="eastAsia"/>
          <w:sz w:val="30"/>
          <w:szCs w:val="30"/>
        </w:rPr>
        <w:t>12</w:t>
      </w:r>
      <w:r>
        <w:rPr>
          <w:rFonts w:eastAsia="仿宋" w:hint="eastAsia"/>
          <w:sz w:val="30"/>
          <w:szCs w:val="30"/>
        </w:rPr>
        <w:t>月，</w:t>
      </w:r>
      <w:r w:rsidR="00FD36BE">
        <w:rPr>
          <w:rFonts w:eastAsia="仿宋" w:hint="eastAsia"/>
          <w:sz w:val="30"/>
          <w:szCs w:val="30"/>
        </w:rPr>
        <w:t>项目任务下达后，上海市动物无害化处理中心和上海建科环境技术有限公司根据工作需要成立了标准编制组，小组成员包括高级职称专业技术人员、中级专业技术职称人员共计</w:t>
      </w:r>
      <w:r w:rsidR="00FD36BE">
        <w:rPr>
          <w:rFonts w:eastAsia="仿宋" w:hint="eastAsia"/>
          <w:sz w:val="30"/>
          <w:szCs w:val="30"/>
        </w:rPr>
        <w:t>15</w:t>
      </w:r>
      <w:r w:rsidR="00FD36BE">
        <w:rPr>
          <w:rFonts w:eastAsia="仿宋" w:hint="eastAsia"/>
          <w:sz w:val="30"/>
          <w:szCs w:val="30"/>
        </w:rPr>
        <w:t>人，覆盖了动物无害化处置、环境管理、环境监测等多个专业技术方向。</w:t>
      </w:r>
      <w:r w:rsidR="005F7C5E">
        <w:rPr>
          <w:rFonts w:eastAsia="仿宋" w:hint="eastAsia"/>
          <w:sz w:val="30"/>
          <w:szCs w:val="30"/>
        </w:rPr>
        <w:t>项目主持人蒋微微曾参与多项地方标准的制修订工作，具有丰富的标准化工作经验。</w:t>
      </w:r>
    </w:p>
    <w:p w14:paraId="3B1AFE00" w14:textId="2F75F118" w:rsidR="000E76B9" w:rsidRDefault="005F7C5E">
      <w:pPr>
        <w:adjustRightInd w:val="0"/>
        <w:snapToGrid w:val="0"/>
        <w:spacing w:line="360" w:lineRule="auto"/>
        <w:ind w:firstLineChars="200" w:firstLine="600"/>
        <w:rPr>
          <w:rFonts w:eastAsia="仿宋"/>
          <w:sz w:val="30"/>
          <w:szCs w:val="30"/>
        </w:rPr>
      </w:pPr>
      <w:r>
        <w:rPr>
          <w:rFonts w:eastAsia="仿宋" w:hint="eastAsia"/>
          <w:sz w:val="30"/>
          <w:szCs w:val="30"/>
        </w:rPr>
        <w:t>标准编制组成立后便立即开展了</w:t>
      </w:r>
      <w:r w:rsidR="00A86600">
        <w:rPr>
          <w:rFonts w:eastAsia="仿宋" w:hint="eastAsia"/>
          <w:sz w:val="30"/>
          <w:szCs w:val="30"/>
        </w:rPr>
        <w:t>确定计划、遴选编写人员、前期调研、资料整理、起草</w:t>
      </w:r>
      <w:r>
        <w:rPr>
          <w:rFonts w:eastAsia="仿宋" w:hint="eastAsia"/>
          <w:sz w:val="30"/>
          <w:szCs w:val="30"/>
        </w:rPr>
        <w:t>编制</w:t>
      </w:r>
      <w:r w:rsidR="00A86600">
        <w:rPr>
          <w:rFonts w:eastAsia="仿宋" w:hint="eastAsia"/>
          <w:sz w:val="30"/>
          <w:szCs w:val="30"/>
        </w:rPr>
        <w:t>、专家咨询、试验论证、意见征求等</w:t>
      </w:r>
      <w:r>
        <w:rPr>
          <w:rFonts w:eastAsia="仿宋" w:hint="eastAsia"/>
          <w:sz w:val="30"/>
          <w:szCs w:val="30"/>
        </w:rPr>
        <w:t>标准研究工作</w:t>
      </w:r>
      <w:r w:rsidR="00A86600">
        <w:rPr>
          <w:rFonts w:eastAsia="仿宋" w:hint="eastAsia"/>
          <w:sz w:val="30"/>
          <w:szCs w:val="30"/>
        </w:rPr>
        <w:t>。</w:t>
      </w:r>
    </w:p>
    <w:p w14:paraId="2BABF079" w14:textId="40ECC1BC" w:rsidR="000E76B9" w:rsidRDefault="00A86600">
      <w:pPr>
        <w:adjustRightInd w:val="0"/>
        <w:snapToGrid w:val="0"/>
        <w:spacing w:line="360" w:lineRule="auto"/>
        <w:ind w:firstLineChars="200" w:firstLine="600"/>
        <w:rPr>
          <w:rFonts w:eastAsia="仿宋"/>
          <w:sz w:val="30"/>
          <w:szCs w:val="30"/>
        </w:rPr>
      </w:pPr>
      <w:r>
        <w:rPr>
          <w:rFonts w:eastAsia="仿宋" w:hint="eastAsia"/>
          <w:sz w:val="30"/>
          <w:szCs w:val="30"/>
        </w:rPr>
        <w:t>编写组查阅了大量的国内外标准和文献，主要包括动物无害化处理恶臭（异味）污染物排放管控措施，以及恶臭（异味）污染物排放管控方面的标准规范。经资料调研发现，国内尚无动物无害化处理行业的针对性恶臭（异味）污染控制规范，各地的动物无害化技术规范也偏重消毒和处理技术，对于动物无害化处理恶臭（异味）污染控制要求也多散落在各技术规范中，完整的动物无害化处理恶臭（异味）控制规范在国内尚属空白。</w:t>
      </w:r>
    </w:p>
    <w:p w14:paraId="56C75AD6" w14:textId="759FD3B9" w:rsidR="000E76B9" w:rsidRDefault="00A86600" w:rsidP="005F7C5E">
      <w:pPr>
        <w:adjustRightInd w:val="0"/>
        <w:snapToGrid w:val="0"/>
        <w:spacing w:line="360" w:lineRule="auto"/>
        <w:ind w:firstLineChars="200" w:firstLine="600"/>
        <w:rPr>
          <w:rFonts w:eastAsia="仿宋"/>
          <w:sz w:val="30"/>
          <w:szCs w:val="30"/>
        </w:rPr>
      </w:pPr>
      <w:r>
        <w:rPr>
          <w:rFonts w:eastAsia="仿宋" w:hint="eastAsia"/>
          <w:sz w:val="30"/>
          <w:szCs w:val="30"/>
        </w:rPr>
        <w:lastRenderedPageBreak/>
        <w:t>编写组对上海市无害化处理工艺及恶臭（异味）污染排放开展了现场调研，对典型动物无害化处理恶臭（异味）污染物进行了监测。</w:t>
      </w:r>
      <w:r>
        <w:rPr>
          <w:rFonts w:eastAsia="仿宋" w:hint="eastAsia"/>
          <w:sz w:val="30"/>
          <w:szCs w:val="30"/>
        </w:rPr>
        <w:t>2024</w:t>
      </w:r>
      <w:r>
        <w:rPr>
          <w:rFonts w:eastAsia="仿宋" w:hint="eastAsia"/>
          <w:sz w:val="30"/>
          <w:szCs w:val="30"/>
        </w:rPr>
        <w:t>年</w:t>
      </w:r>
      <w:r>
        <w:rPr>
          <w:rFonts w:eastAsia="仿宋" w:hint="eastAsia"/>
          <w:sz w:val="30"/>
          <w:szCs w:val="30"/>
        </w:rPr>
        <w:t>4</w:t>
      </w:r>
      <w:r>
        <w:rPr>
          <w:rFonts w:eastAsia="仿宋" w:hint="eastAsia"/>
          <w:sz w:val="30"/>
          <w:szCs w:val="30"/>
        </w:rPr>
        <w:t>月，赴天津市开展动物无害化集中处理设施（天津市动物疫病预防控制中心和天津市蓟州区动物无害化处理中心）调研。现场调研中发现，恶臭（异味）问题是动物无害化处理设施面临的共同挑战。动物无害化过程涉及多个环节，在收集、运输、暂存和处理等过程中均有恶臭（异味）产生，因此，对于动物无害化恶臭（异味）污染的控制，不能仅局限于无害化处理阶段，而应该全流程管控，并结合项目工艺及恶臭（异味）产污特点对各流程进行针对性的治理和排放管理。</w:t>
      </w:r>
    </w:p>
    <w:p w14:paraId="16827271" w14:textId="4F7C9565" w:rsidR="000E76B9" w:rsidRDefault="005F7C5E">
      <w:pPr>
        <w:adjustRightInd w:val="0"/>
        <w:snapToGrid w:val="0"/>
        <w:spacing w:line="360" w:lineRule="auto"/>
        <w:ind w:firstLineChars="200" w:firstLine="600"/>
        <w:rPr>
          <w:rFonts w:eastAsia="仿宋"/>
          <w:sz w:val="30"/>
          <w:szCs w:val="30"/>
        </w:rPr>
      </w:pPr>
      <w:r w:rsidRPr="00954ECC">
        <w:rPr>
          <w:rFonts w:eastAsia="仿宋" w:hint="eastAsia"/>
          <w:sz w:val="30"/>
          <w:szCs w:val="30"/>
        </w:rPr>
        <w:t>随后，编写组</w:t>
      </w:r>
      <w:r w:rsidR="00A86600">
        <w:rPr>
          <w:rFonts w:eastAsia="仿宋" w:hint="eastAsia"/>
          <w:sz w:val="30"/>
          <w:szCs w:val="30"/>
        </w:rPr>
        <w:t>形成了《动物无害化处理恶臭（异味）污染物控制规范（征求意见稿）》。</w:t>
      </w:r>
    </w:p>
    <w:p w14:paraId="256D1572" w14:textId="797C325B" w:rsidR="000E76B9" w:rsidRDefault="00A86600" w:rsidP="00850642">
      <w:pPr>
        <w:adjustRightInd w:val="0"/>
        <w:snapToGrid w:val="0"/>
        <w:spacing w:line="360" w:lineRule="auto"/>
        <w:ind w:firstLineChars="200" w:firstLine="643"/>
        <w:outlineLvl w:val="1"/>
        <w:rPr>
          <w:rFonts w:ascii="仿宋" w:eastAsia="仿宋" w:hAnsi="仿宋" w:hint="eastAsia"/>
          <w:b/>
          <w:sz w:val="32"/>
          <w:szCs w:val="32"/>
        </w:rPr>
      </w:pPr>
      <w:bookmarkStart w:id="9" w:name="_Toc187067315"/>
      <w:r>
        <w:rPr>
          <w:rFonts w:ascii="仿宋" w:eastAsia="仿宋" w:hAnsi="仿宋" w:hint="eastAsia"/>
          <w:b/>
          <w:sz w:val="32"/>
          <w:szCs w:val="32"/>
        </w:rPr>
        <w:t>（</w:t>
      </w:r>
      <w:r w:rsidR="005F7C5E">
        <w:rPr>
          <w:rFonts w:ascii="仿宋" w:eastAsia="仿宋" w:hAnsi="仿宋" w:hint="eastAsia"/>
          <w:b/>
          <w:sz w:val="32"/>
          <w:szCs w:val="32"/>
        </w:rPr>
        <w:t>二</w:t>
      </w:r>
      <w:r>
        <w:rPr>
          <w:rFonts w:ascii="仿宋" w:eastAsia="仿宋" w:hAnsi="仿宋" w:hint="eastAsia"/>
          <w:b/>
          <w:sz w:val="32"/>
          <w:szCs w:val="32"/>
        </w:rPr>
        <w:t>）意见征询</w:t>
      </w:r>
      <w:r w:rsidR="005F7C5E">
        <w:rPr>
          <w:rFonts w:ascii="仿宋" w:eastAsia="仿宋" w:hAnsi="仿宋" w:hint="eastAsia"/>
          <w:b/>
          <w:sz w:val="32"/>
          <w:szCs w:val="32"/>
        </w:rPr>
        <w:t>阶段</w:t>
      </w:r>
      <w:bookmarkEnd w:id="9"/>
    </w:p>
    <w:p w14:paraId="64DC7953" w14:textId="4B25B0FC" w:rsidR="000E76B9" w:rsidRDefault="00A86600">
      <w:pPr>
        <w:adjustRightInd w:val="0"/>
        <w:snapToGrid w:val="0"/>
        <w:spacing w:line="360" w:lineRule="auto"/>
        <w:ind w:firstLineChars="200" w:firstLine="600"/>
        <w:rPr>
          <w:rFonts w:eastAsia="仿宋"/>
          <w:sz w:val="30"/>
          <w:szCs w:val="30"/>
        </w:rPr>
      </w:pPr>
      <w:r>
        <w:rPr>
          <w:rFonts w:eastAsia="仿宋" w:hint="eastAsia"/>
          <w:sz w:val="30"/>
          <w:szCs w:val="30"/>
        </w:rPr>
        <w:t>2024</w:t>
      </w:r>
      <w:r>
        <w:rPr>
          <w:rFonts w:eastAsia="仿宋" w:hint="eastAsia"/>
          <w:sz w:val="30"/>
          <w:szCs w:val="30"/>
        </w:rPr>
        <w:t>年</w:t>
      </w:r>
      <w:r>
        <w:rPr>
          <w:rFonts w:eastAsia="仿宋" w:hint="eastAsia"/>
          <w:sz w:val="30"/>
          <w:szCs w:val="30"/>
        </w:rPr>
        <w:t>5</w:t>
      </w:r>
      <w:r>
        <w:rPr>
          <w:rFonts w:eastAsia="仿宋" w:hint="eastAsia"/>
          <w:sz w:val="30"/>
          <w:szCs w:val="30"/>
        </w:rPr>
        <w:t>月，编写组就《动物无害化处理恶臭（异味）污染物控制规范（征求意见稿）》向上海市环境科学研究院、上海市环境监测中心、上海质量管理科学研究院、同济大学、上海市动物疫病预防控制中心、奉贤区动物疫病预防控制中心等单位的专家征求意见。</w:t>
      </w:r>
    </w:p>
    <w:p w14:paraId="46C94610" w14:textId="1DEA3811" w:rsidR="005F7C5E" w:rsidRDefault="00A86600" w:rsidP="005F7C5E">
      <w:pPr>
        <w:adjustRightInd w:val="0"/>
        <w:snapToGrid w:val="0"/>
        <w:spacing w:line="360" w:lineRule="auto"/>
        <w:ind w:firstLineChars="200" w:firstLine="600"/>
        <w:rPr>
          <w:rFonts w:eastAsia="仿宋"/>
          <w:sz w:val="30"/>
          <w:szCs w:val="30"/>
        </w:rPr>
      </w:pPr>
      <w:r>
        <w:rPr>
          <w:rFonts w:eastAsia="仿宋" w:hint="eastAsia"/>
          <w:sz w:val="30"/>
          <w:szCs w:val="30"/>
        </w:rPr>
        <w:t>2024</w:t>
      </w:r>
      <w:r>
        <w:rPr>
          <w:rFonts w:eastAsia="仿宋" w:hint="eastAsia"/>
          <w:sz w:val="30"/>
          <w:szCs w:val="30"/>
        </w:rPr>
        <w:t>年</w:t>
      </w:r>
      <w:r>
        <w:rPr>
          <w:rFonts w:eastAsia="仿宋" w:hint="eastAsia"/>
          <w:sz w:val="30"/>
          <w:szCs w:val="30"/>
        </w:rPr>
        <w:t>5~6</w:t>
      </w:r>
      <w:r>
        <w:rPr>
          <w:rFonts w:eastAsia="仿宋" w:hint="eastAsia"/>
          <w:sz w:val="30"/>
          <w:szCs w:val="30"/>
        </w:rPr>
        <w:t>月，编写组根据专家意见就《动物无害化处理恶臭（异味）污染物控制规范（征求意见稿）》各类条款的规范性、适用性、可行性进行了讨论。编写组根据汇总的</w:t>
      </w:r>
      <w:r w:rsidR="00FE5636">
        <w:rPr>
          <w:rFonts w:eastAsia="仿宋"/>
          <w:sz w:val="30"/>
          <w:szCs w:val="30"/>
        </w:rPr>
        <w:t>55</w:t>
      </w:r>
      <w:r>
        <w:rPr>
          <w:rFonts w:eastAsia="仿宋" w:hint="eastAsia"/>
          <w:sz w:val="30"/>
          <w:szCs w:val="30"/>
        </w:rPr>
        <w:t>条征询意见逐条讨论修改，</w:t>
      </w:r>
      <w:r w:rsidR="005F7C5E" w:rsidRPr="00FE5636">
        <w:rPr>
          <w:rFonts w:eastAsia="仿宋" w:hint="eastAsia"/>
          <w:sz w:val="30"/>
          <w:szCs w:val="30"/>
        </w:rPr>
        <w:t>采纳意见</w:t>
      </w:r>
      <w:r w:rsidR="00FE5636" w:rsidRPr="00FE5636">
        <w:rPr>
          <w:rFonts w:eastAsia="仿宋"/>
          <w:sz w:val="30"/>
          <w:szCs w:val="30"/>
        </w:rPr>
        <w:t>52</w:t>
      </w:r>
      <w:r w:rsidR="005F7C5E" w:rsidRPr="00FE5636">
        <w:rPr>
          <w:rFonts w:eastAsia="仿宋" w:hint="eastAsia"/>
          <w:sz w:val="30"/>
          <w:szCs w:val="30"/>
        </w:rPr>
        <w:t>条，未采纳意见</w:t>
      </w:r>
      <w:r w:rsidR="001862FD" w:rsidRPr="00FE5636">
        <w:rPr>
          <w:rFonts w:eastAsia="仿宋"/>
          <w:sz w:val="30"/>
          <w:szCs w:val="30"/>
        </w:rPr>
        <w:t>3</w:t>
      </w:r>
      <w:r w:rsidR="005F7C5E" w:rsidRPr="00FE5636">
        <w:rPr>
          <w:rFonts w:eastAsia="仿宋" w:hint="eastAsia"/>
          <w:sz w:val="30"/>
          <w:szCs w:val="30"/>
        </w:rPr>
        <w:t>条，</w:t>
      </w:r>
      <w:r w:rsidRPr="00FE5636">
        <w:rPr>
          <w:rFonts w:eastAsia="仿宋" w:hint="eastAsia"/>
          <w:sz w:val="30"/>
          <w:szCs w:val="30"/>
        </w:rPr>
        <w:t>形</w:t>
      </w:r>
      <w:r>
        <w:rPr>
          <w:rFonts w:eastAsia="仿宋" w:hint="eastAsia"/>
          <w:sz w:val="30"/>
          <w:szCs w:val="30"/>
        </w:rPr>
        <w:t>成《动物无害化处理恶臭（异味）污染物控制规范（送审稿）》初稿</w:t>
      </w:r>
      <w:r w:rsidR="005F7C5E">
        <w:rPr>
          <w:rFonts w:eastAsia="仿宋" w:hint="eastAsia"/>
          <w:sz w:val="30"/>
          <w:szCs w:val="30"/>
        </w:rPr>
        <w:t>和《动物无害化处理恶臭（异味）污染物控制规范编制说明（征求</w:t>
      </w:r>
      <w:r w:rsidR="005F7C5E">
        <w:rPr>
          <w:rFonts w:eastAsia="仿宋" w:hint="eastAsia"/>
          <w:sz w:val="30"/>
          <w:szCs w:val="30"/>
        </w:rPr>
        <w:lastRenderedPageBreak/>
        <w:t>意见稿）》。</w:t>
      </w:r>
    </w:p>
    <w:p w14:paraId="0AD1ABCD" w14:textId="7D13AFDC" w:rsidR="000E76B9" w:rsidRDefault="00A86600">
      <w:pPr>
        <w:spacing w:line="360" w:lineRule="auto"/>
        <w:ind w:firstLineChars="200" w:firstLine="643"/>
        <w:jc w:val="left"/>
        <w:outlineLvl w:val="0"/>
        <w:rPr>
          <w:rFonts w:eastAsia="黑体"/>
          <w:b/>
          <w:bCs/>
          <w:sz w:val="32"/>
          <w:szCs w:val="32"/>
        </w:rPr>
      </w:pPr>
      <w:bookmarkStart w:id="10" w:name="_Toc187067317"/>
      <w:r>
        <w:rPr>
          <w:rFonts w:eastAsia="黑体"/>
          <w:b/>
          <w:bCs/>
          <w:sz w:val="32"/>
          <w:szCs w:val="32"/>
        </w:rPr>
        <w:t>四、编制原则</w:t>
      </w:r>
      <w:bookmarkEnd w:id="10"/>
    </w:p>
    <w:p w14:paraId="4B1BF96C"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本规范主要规定的内容为病死及病害动物和相关动物产品收集转运及无害化处理过程中恶臭（异味）污染物排放控制要求、排放限值、监测及日常监控、管理等要求。在编制过程中，遵循以下原则：</w:t>
      </w:r>
    </w:p>
    <w:p w14:paraId="0B3C86D8" w14:textId="1BBEE68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一是</w:t>
      </w:r>
      <w:r>
        <w:rPr>
          <w:rFonts w:eastAsia="仿宋" w:hint="eastAsia"/>
          <w:sz w:val="30"/>
          <w:szCs w:val="30"/>
        </w:rPr>
        <w:t>规范</w:t>
      </w:r>
      <w:r>
        <w:rPr>
          <w:rFonts w:eastAsia="仿宋"/>
          <w:sz w:val="30"/>
          <w:szCs w:val="30"/>
        </w:rPr>
        <w:t>性原则。病死及病害动物和相关动物产品收集转运及无害化处理过程中恶臭（异味）污染物排放控制要求、排放限值、监测及日常监控、管理等要求符合农业部印发的《病死及病害动物无害化处理技术规范》（农医发</w:t>
      </w:r>
      <w:r>
        <w:rPr>
          <w:rFonts w:eastAsia="仿宋"/>
          <w:sz w:val="30"/>
          <w:szCs w:val="30"/>
        </w:rPr>
        <w:t>[2017]25</w:t>
      </w:r>
      <w:r>
        <w:rPr>
          <w:rFonts w:eastAsia="仿宋"/>
          <w:sz w:val="30"/>
          <w:szCs w:val="30"/>
        </w:rPr>
        <w:t>号）、《动物无害化收集场所通用技术规范》（</w:t>
      </w:r>
      <w:r>
        <w:rPr>
          <w:rFonts w:eastAsia="仿宋"/>
          <w:sz w:val="30"/>
          <w:szCs w:val="30"/>
        </w:rPr>
        <w:t>DB 31/T 953</w:t>
      </w:r>
      <w:r>
        <w:rPr>
          <w:rFonts w:eastAsia="仿宋"/>
          <w:sz w:val="30"/>
          <w:szCs w:val="30"/>
        </w:rPr>
        <w:t>）、《动物无害化收集转运技术规范》（</w:t>
      </w:r>
      <w:r>
        <w:rPr>
          <w:rFonts w:eastAsia="仿宋"/>
          <w:sz w:val="30"/>
          <w:szCs w:val="30"/>
        </w:rPr>
        <w:t>DB 31/T 1004</w:t>
      </w:r>
      <w:r>
        <w:rPr>
          <w:rFonts w:eastAsia="仿宋"/>
          <w:sz w:val="30"/>
          <w:szCs w:val="30"/>
        </w:rPr>
        <w:t>）、《动物无害化集中处理场所通用技术规范》（</w:t>
      </w:r>
      <w:r>
        <w:rPr>
          <w:rFonts w:eastAsia="仿宋"/>
          <w:sz w:val="30"/>
          <w:szCs w:val="30"/>
        </w:rPr>
        <w:t>DB</w:t>
      </w:r>
      <w:r>
        <w:rPr>
          <w:rFonts w:eastAsia="仿宋" w:hint="eastAsia"/>
          <w:sz w:val="30"/>
          <w:szCs w:val="30"/>
        </w:rPr>
        <w:t xml:space="preserve"> </w:t>
      </w:r>
      <w:r>
        <w:rPr>
          <w:rFonts w:eastAsia="仿宋"/>
          <w:sz w:val="30"/>
          <w:szCs w:val="30"/>
        </w:rPr>
        <w:t>31/T 821</w:t>
      </w:r>
      <w:r>
        <w:rPr>
          <w:rFonts w:eastAsia="仿宋"/>
          <w:sz w:val="30"/>
          <w:szCs w:val="30"/>
        </w:rPr>
        <w:t>）等相关法律法规及标准的要求；无害化处理过程中恶臭（异味）污染物的监测要求应结合国家和上海市固定污染源例行跟踪监测要求及动物无害化全过程设施特点。</w:t>
      </w:r>
    </w:p>
    <w:p w14:paraId="2C0DC172"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二是科学性原则。</w:t>
      </w:r>
      <w:r>
        <w:rPr>
          <w:rFonts w:eastAsia="仿宋" w:hint="eastAsia"/>
          <w:sz w:val="30"/>
          <w:szCs w:val="30"/>
        </w:rPr>
        <w:t>本规范从病死及病害动物和相关动物产品</w:t>
      </w:r>
      <w:r>
        <w:rPr>
          <w:rFonts w:eastAsia="仿宋"/>
          <w:sz w:val="30"/>
          <w:szCs w:val="30"/>
        </w:rPr>
        <w:t>收集、转运、暂存、集中处置等设施的主要</w:t>
      </w:r>
      <w:r>
        <w:rPr>
          <w:rFonts w:eastAsia="仿宋" w:hint="eastAsia"/>
          <w:sz w:val="30"/>
          <w:szCs w:val="30"/>
        </w:rPr>
        <w:t>恶臭（异味）</w:t>
      </w:r>
      <w:r>
        <w:rPr>
          <w:rFonts w:eastAsia="仿宋"/>
          <w:sz w:val="30"/>
          <w:szCs w:val="30"/>
        </w:rPr>
        <w:t>产生源（贮存区、污水处理设施等）角度，提出</w:t>
      </w:r>
      <w:r>
        <w:rPr>
          <w:rFonts w:eastAsia="仿宋" w:hint="eastAsia"/>
          <w:sz w:val="30"/>
          <w:szCs w:val="30"/>
        </w:rPr>
        <w:t>了</w:t>
      </w:r>
      <w:r>
        <w:rPr>
          <w:rFonts w:eastAsia="仿宋"/>
          <w:sz w:val="30"/>
          <w:szCs w:val="30"/>
        </w:rPr>
        <w:t>关键环节的臭气收集、治理要求</w:t>
      </w:r>
      <w:r>
        <w:rPr>
          <w:rFonts w:eastAsia="仿宋" w:hint="eastAsia"/>
          <w:sz w:val="30"/>
          <w:szCs w:val="30"/>
        </w:rPr>
        <w:t>，实现了动物尸体</w:t>
      </w:r>
      <w:r>
        <w:rPr>
          <w:rFonts w:eastAsia="仿宋"/>
          <w:sz w:val="30"/>
          <w:szCs w:val="30"/>
        </w:rPr>
        <w:t>；</w:t>
      </w:r>
      <w:r>
        <w:rPr>
          <w:rFonts w:eastAsia="仿宋" w:hint="eastAsia"/>
          <w:sz w:val="30"/>
          <w:szCs w:val="30"/>
        </w:rPr>
        <w:t>并</w:t>
      </w:r>
      <w:r>
        <w:rPr>
          <w:rFonts w:eastAsia="仿宋"/>
          <w:sz w:val="30"/>
          <w:szCs w:val="30"/>
        </w:rPr>
        <w:t>在动物无害化过程</w:t>
      </w:r>
      <w:r>
        <w:rPr>
          <w:rFonts w:eastAsia="仿宋" w:hint="eastAsia"/>
          <w:sz w:val="30"/>
          <w:szCs w:val="30"/>
        </w:rPr>
        <w:t>恶臭（异味）</w:t>
      </w:r>
      <w:r>
        <w:rPr>
          <w:rFonts w:eastAsia="仿宋"/>
          <w:sz w:val="30"/>
          <w:szCs w:val="30"/>
        </w:rPr>
        <w:t>特征污染物分析的基础上，针对动物无害化</w:t>
      </w:r>
      <w:r>
        <w:rPr>
          <w:rFonts w:eastAsia="仿宋" w:hint="eastAsia"/>
          <w:sz w:val="30"/>
          <w:szCs w:val="30"/>
        </w:rPr>
        <w:t>恶臭（异味）</w:t>
      </w:r>
      <w:r>
        <w:rPr>
          <w:rFonts w:eastAsia="仿宋"/>
          <w:sz w:val="30"/>
          <w:szCs w:val="30"/>
        </w:rPr>
        <w:t>特征和排放特点明确各环节、各设施有组织和无组织</w:t>
      </w:r>
      <w:r>
        <w:rPr>
          <w:rFonts w:eastAsia="仿宋" w:hint="eastAsia"/>
          <w:sz w:val="30"/>
          <w:szCs w:val="30"/>
        </w:rPr>
        <w:t>恶臭（异味）</w:t>
      </w:r>
      <w:r>
        <w:rPr>
          <w:rFonts w:eastAsia="仿宋"/>
          <w:sz w:val="30"/>
          <w:szCs w:val="30"/>
        </w:rPr>
        <w:t>污染物排放标准限值。</w:t>
      </w:r>
    </w:p>
    <w:p w14:paraId="26C2F600"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三是实用性原则。结合上海市动物无害化处理场所的实际情</w:t>
      </w:r>
      <w:r>
        <w:rPr>
          <w:rFonts w:eastAsia="仿宋"/>
          <w:sz w:val="30"/>
          <w:szCs w:val="30"/>
        </w:rPr>
        <w:lastRenderedPageBreak/>
        <w:t>况，无害化处理过程中恶臭（异味）污染物排放的日常控制管理，包括对各类设施的</w:t>
      </w:r>
      <w:r>
        <w:rPr>
          <w:rFonts w:eastAsia="仿宋" w:hint="eastAsia"/>
          <w:sz w:val="30"/>
          <w:szCs w:val="30"/>
        </w:rPr>
        <w:t>恶臭（异味）</w:t>
      </w:r>
      <w:r>
        <w:rPr>
          <w:rFonts w:eastAsia="仿宋"/>
          <w:sz w:val="30"/>
          <w:szCs w:val="30"/>
        </w:rPr>
        <w:t>污染预防、</w:t>
      </w:r>
      <w:r>
        <w:rPr>
          <w:rFonts w:eastAsia="仿宋" w:hint="eastAsia"/>
          <w:sz w:val="30"/>
          <w:szCs w:val="30"/>
        </w:rPr>
        <w:t>恶臭（异味）</w:t>
      </w:r>
      <w:r>
        <w:rPr>
          <w:rFonts w:eastAsia="仿宋"/>
          <w:sz w:val="30"/>
          <w:szCs w:val="30"/>
        </w:rPr>
        <w:t>治理设施维护、</w:t>
      </w:r>
      <w:r>
        <w:rPr>
          <w:rFonts w:eastAsia="仿宋" w:hint="eastAsia"/>
          <w:sz w:val="30"/>
          <w:szCs w:val="30"/>
        </w:rPr>
        <w:t>恶臭（异味）</w:t>
      </w:r>
      <w:r>
        <w:rPr>
          <w:rFonts w:eastAsia="仿宋"/>
          <w:sz w:val="30"/>
          <w:szCs w:val="30"/>
        </w:rPr>
        <w:t>污染应急处置的条款规定应尽可能具体、明确，有较强的可操作性</w:t>
      </w:r>
      <w:r>
        <w:rPr>
          <w:rFonts w:eastAsia="仿宋" w:hint="eastAsia"/>
          <w:sz w:val="30"/>
          <w:szCs w:val="30"/>
        </w:rPr>
        <w:t>。</w:t>
      </w:r>
    </w:p>
    <w:p w14:paraId="4B9934A6" w14:textId="77777777" w:rsidR="000E76B9" w:rsidRDefault="00A86600">
      <w:pPr>
        <w:spacing w:line="360" w:lineRule="auto"/>
        <w:ind w:firstLineChars="200" w:firstLine="643"/>
        <w:jc w:val="left"/>
        <w:outlineLvl w:val="0"/>
        <w:rPr>
          <w:rFonts w:eastAsia="黑体"/>
          <w:b/>
          <w:bCs/>
          <w:sz w:val="32"/>
          <w:szCs w:val="32"/>
        </w:rPr>
      </w:pPr>
      <w:bookmarkStart w:id="11" w:name="_Toc187067318"/>
      <w:r>
        <w:rPr>
          <w:rFonts w:eastAsia="黑体" w:hint="eastAsia"/>
          <w:b/>
          <w:bCs/>
          <w:sz w:val="32"/>
          <w:szCs w:val="32"/>
        </w:rPr>
        <w:t>五</w:t>
      </w:r>
      <w:r>
        <w:rPr>
          <w:rFonts w:eastAsia="黑体"/>
          <w:b/>
          <w:bCs/>
          <w:sz w:val="32"/>
          <w:szCs w:val="32"/>
        </w:rPr>
        <w:t>、标准的主要技术内容</w:t>
      </w:r>
      <w:bookmarkEnd w:id="11"/>
    </w:p>
    <w:p w14:paraId="4F859A2C" w14:textId="77777777" w:rsidR="000E76B9" w:rsidRDefault="00A86600" w:rsidP="00850642">
      <w:pPr>
        <w:adjustRightInd w:val="0"/>
        <w:snapToGrid w:val="0"/>
        <w:spacing w:line="360" w:lineRule="auto"/>
        <w:ind w:firstLineChars="200" w:firstLine="643"/>
        <w:outlineLvl w:val="1"/>
        <w:rPr>
          <w:rFonts w:ascii="仿宋" w:eastAsia="仿宋" w:hAnsi="仿宋" w:hint="eastAsia"/>
          <w:b/>
          <w:sz w:val="32"/>
          <w:szCs w:val="32"/>
        </w:rPr>
      </w:pPr>
      <w:bookmarkStart w:id="12" w:name="_Toc187067319"/>
      <w:r>
        <w:rPr>
          <w:rFonts w:ascii="仿宋" w:eastAsia="仿宋" w:hAnsi="仿宋" w:hint="eastAsia"/>
          <w:b/>
          <w:sz w:val="32"/>
          <w:szCs w:val="32"/>
        </w:rPr>
        <w:t>（一）结构框架</w:t>
      </w:r>
      <w:bookmarkEnd w:id="12"/>
    </w:p>
    <w:p w14:paraId="537869F7" w14:textId="77777777" w:rsidR="000E76B9" w:rsidRDefault="00A86600">
      <w:pPr>
        <w:adjustRightInd w:val="0"/>
        <w:snapToGrid w:val="0"/>
        <w:spacing w:line="360" w:lineRule="auto"/>
        <w:ind w:firstLineChars="200" w:firstLine="600"/>
        <w:rPr>
          <w:rFonts w:eastAsia="仿宋"/>
          <w:sz w:val="30"/>
          <w:szCs w:val="30"/>
        </w:rPr>
      </w:pPr>
      <w:r>
        <w:rPr>
          <w:rFonts w:eastAsia="仿宋" w:hint="eastAsia"/>
          <w:sz w:val="30"/>
          <w:szCs w:val="30"/>
        </w:rPr>
        <w:t>根据《标准化工作导则—第</w:t>
      </w:r>
      <w:r>
        <w:rPr>
          <w:rFonts w:eastAsia="仿宋" w:hint="eastAsia"/>
          <w:sz w:val="30"/>
          <w:szCs w:val="30"/>
        </w:rPr>
        <w:t>1</w:t>
      </w:r>
      <w:r>
        <w:rPr>
          <w:rFonts w:eastAsia="仿宋" w:hint="eastAsia"/>
          <w:sz w:val="30"/>
          <w:szCs w:val="30"/>
        </w:rPr>
        <w:t>部分：标准化文件的结构和起草规则》（</w:t>
      </w:r>
      <w:r>
        <w:rPr>
          <w:rFonts w:eastAsia="仿宋" w:hint="eastAsia"/>
          <w:sz w:val="30"/>
          <w:szCs w:val="30"/>
        </w:rPr>
        <w:t>GB/T 1.1-2020</w:t>
      </w:r>
      <w:r>
        <w:rPr>
          <w:rFonts w:eastAsia="仿宋" w:hint="eastAsia"/>
          <w:sz w:val="30"/>
          <w:szCs w:val="30"/>
        </w:rPr>
        <w:t>）、《标准编写规则—第</w:t>
      </w:r>
      <w:r>
        <w:rPr>
          <w:rFonts w:eastAsia="仿宋" w:hint="eastAsia"/>
          <w:sz w:val="30"/>
          <w:szCs w:val="30"/>
        </w:rPr>
        <w:t>5</w:t>
      </w:r>
      <w:r>
        <w:rPr>
          <w:rFonts w:eastAsia="仿宋" w:hint="eastAsia"/>
          <w:sz w:val="30"/>
          <w:szCs w:val="30"/>
        </w:rPr>
        <w:t>部分：规范标准》（</w:t>
      </w:r>
      <w:r>
        <w:rPr>
          <w:rFonts w:eastAsia="仿宋" w:hint="eastAsia"/>
          <w:sz w:val="30"/>
          <w:szCs w:val="30"/>
        </w:rPr>
        <w:t>GB/T 20001.5-2017</w:t>
      </w:r>
      <w:r>
        <w:rPr>
          <w:rFonts w:eastAsia="仿宋" w:hint="eastAsia"/>
          <w:sz w:val="30"/>
          <w:szCs w:val="30"/>
        </w:rPr>
        <w:t>），结合生态环境部制定地方标准的指导意见，确定了本“规范”结构框架：范围、规范性引用文件、术语和定义、恶臭（异味）污染物排放控制、恶臭（异味）污染物排放限值、恶臭（异味）污染物监测要求六个主体部分和附录组成。</w:t>
      </w:r>
    </w:p>
    <w:p w14:paraId="4D861CB8" w14:textId="77777777" w:rsidR="000E76B9" w:rsidRDefault="00A86600" w:rsidP="00850642">
      <w:pPr>
        <w:adjustRightInd w:val="0"/>
        <w:snapToGrid w:val="0"/>
        <w:spacing w:line="360" w:lineRule="auto"/>
        <w:ind w:firstLineChars="200" w:firstLine="643"/>
        <w:outlineLvl w:val="1"/>
        <w:rPr>
          <w:rFonts w:ascii="仿宋" w:eastAsia="仿宋" w:hAnsi="仿宋" w:hint="eastAsia"/>
          <w:b/>
          <w:sz w:val="32"/>
          <w:szCs w:val="32"/>
        </w:rPr>
      </w:pPr>
      <w:bookmarkStart w:id="13" w:name="_Toc187067320"/>
      <w:r>
        <w:rPr>
          <w:rFonts w:ascii="仿宋" w:eastAsia="仿宋" w:hAnsi="仿宋" w:hint="eastAsia"/>
          <w:b/>
          <w:sz w:val="32"/>
          <w:szCs w:val="32"/>
        </w:rPr>
        <w:t>（二）主要条款</w:t>
      </w:r>
      <w:bookmarkEnd w:id="13"/>
    </w:p>
    <w:p w14:paraId="2D089F94" w14:textId="77777777" w:rsidR="000E76B9" w:rsidRDefault="00A86600" w:rsidP="00850642">
      <w:pPr>
        <w:adjustRightInd w:val="0"/>
        <w:snapToGrid w:val="0"/>
        <w:spacing w:line="360" w:lineRule="auto"/>
        <w:ind w:firstLineChars="200" w:firstLine="643"/>
        <w:outlineLvl w:val="2"/>
        <w:rPr>
          <w:rFonts w:eastAsia="仿宋"/>
          <w:b/>
          <w:sz w:val="32"/>
          <w:szCs w:val="32"/>
        </w:rPr>
      </w:pPr>
      <w:r>
        <w:rPr>
          <w:rFonts w:eastAsia="仿宋"/>
          <w:b/>
          <w:sz w:val="32"/>
          <w:szCs w:val="32"/>
        </w:rPr>
        <w:t>1</w:t>
      </w:r>
      <w:r>
        <w:rPr>
          <w:rFonts w:eastAsia="仿宋"/>
          <w:b/>
          <w:sz w:val="32"/>
          <w:szCs w:val="32"/>
        </w:rPr>
        <w:t>．范围</w:t>
      </w:r>
    </w:p>
    <w:p w14:paraId="3EDEB759" w14:textId="434B5D47" w:rsidR="000E76B9" w:rsidRDefault="00451FDE">
      <w:pPr>
        <w:adjustRightInd w:val="0"/>
        <w:snapToGrid w:val="0"/>
        <w:spacing w:line="360" w:lineRule="auto"/>
        <w:ind w:firstLineChars="200" w:firstLine="600"/>
        <w:rPr>
          <w:rFonts w:eastAsia="仿宋"/>
          <w:sz w:val="30"/>
          <w:szCs w:val="30"/>
        </w:rPr>
      </w:pPr>
      <w:r>
        <w:rPr>
          <w:rFonts w:eastAsia="仿宋" w:hint="eastAsia"/>
          <w:sz w:val="30"/>
          <w:szCs w:val="30"/>
        </w:rPr>
        <w:t>规范</w:t>
      </w:r>
      <w:r w:rsidR="00A86600">
        <w:rPr>
          <w:rFonts w:eastAsia="仿宋" w:hint="eastAsia"/>
          <w:sz w:val="30"/>
          <w:szCs w:val="30"/>
        </w:rPr>
        <w:t>规定了病死及病害动物和相关动物产品收集转运及无害化处理过程中恶臭（异味）污染物排放控制要求、排放限值和监测要求。</w:t>
      </w:r>
    </w:p>
    <w:p w14:paraId="012CAF39" w14:textId="3D463373" w:rsidR="000E76B9" w:rsidRDefault="00451FDE">
      <w:pPr>
        <w:adjustRightInd w:val="0"/>
        <w:snapToGrid w:val="0"/>
        <w:spacing w:line="360" w:lineRule="auto"/>
        <w:ind w:firstLineChars="200" w:firstLine="600"/>
        <w:rPr>
          <w:rFonts w:eastAsia="仿宋"/>
          <w:sz w:val="30"/>
          <w:szCs w:val="30"/>
        </w:rPr>
      </w:pPr>
      <w:r>
        <w:rPr>
          <w:rFonts w:eastAsia="仿宋" w:hint="eastAsia"/>
          <w:sz w:val="30"/>
          <w:szCs w:val="30"/>
        </w:rPr>
        <w:t>规范适用于动物无害化处理设施及其场所的恶臭</w:t>
      </w:r>
      <w:r w:rsidR="00A86600">
        <w:rPr>
          <w:rFonts w:eastAsia="仿宋" w:hint="eastAsia"/>
          <w:sz w:val="30"/>
          <w:szCs w:val="30"/>
        </w:rPr>
        <w:t>（异味）污染物排放管理，以及新、改、扩建项目的选址、环境影响评价、环境保护设施设计、竣工环境保护验收及其投产后的恶臭（异味）污染物排放管理。</w:t>
      </w:r>
    </w:p>
    <w:p w14:paraId="2A4AC1AD" w14:textId="4930A7A1" w:rsidR="000E76B9" w:rsidRDefault="00451FDE">
      <w:pPr>
        <w:adjustRightInd w:val="0"/>
        <w:snapToGrid w:val="0"/>
        <w:spacing w:line="360" w:lineRule="auto"/>
        <w:ind w:firstLineChars="200" w:firstLine="600"/>
        <w:rPr>
          <w:rFonts w:eastAsia="仿宋"/>
          <w:sz w:val="30"/>
          <w:szCs w:val="30"/>
        </w:rPr>
      </w:pPr>
      <w:r>
        <w:rPr>
          <w:rFonts w:eastAsia="仿宋" w:hint="eastAsia"/>
          <w:sz w:val="30"/>
          <w:szCs w:val="30"/>
        </w:rPr>
        <w:t>规范</w:t>
      </w:r>
      <w:r w:rsidR="00A86600">
        <w:rPr>
          <w:rFonts w:eastAsia="仿宋" w:hint="eastAsia"/>
          <w:sz w:val="30"/>
          <w:szCs w:val="30"/>
        </w:rPr>
        <w:t>的适用范围覆盖了动物无害化处理行业全流程和全生</w:t>
      </w:r>
      <w:r w:rsidR="00A86600">
        <w:rPr>
          <w:rFonts w:eastAsia="仿宋" w:hint="eastAsia"/>
          <w:sz w:val="30"/>
          <w:szCs w:val="30"/>
        </w:rPr>
        <w:lastRenderedPageBreak/>
        <w:t>命周期。</w:t>
      </w:r>
    </w:p>
    <w:p w14:paraId="10F4C485" w14:textId="77777777" w:rsidR="000E76B9" w:rsidRDefault="00A86600" w:rsidP="00850642">
      <w:pPr>
        <w:adjustRightInd w:val="0"/>
        <w:snapToGrid w:val="0"/>
        <w:spacing w:line="360" w:lineRule="auto"/>
        <w:ind w:firstLineChars="200" w:firstLine="643"/>
        <w:outlineLvl w:val="2"/>
        <w:rPr>
          <w:rFonts w:eastAsia="仿宋"/>
          <w:b/>
          <w:sz w:val="32"/>
          <w:szCs w:val="32"/>
        </w:rPr>
      </w:pPr>
      <w:r>
        <w:rPr>
          <w:rFonts w:eastAsia="仿宋" w:hint="eastAsia"/>
          <w:b/>
          <w:sz w:val="32"/>
          <w:szCs w:val="32"/>
        </w:rPr>
        <w:t>2</w:t>
      </w:r>
      <w:r>
        <w:rPr>
          <w:rFonts w:eastAsia="仿宋"/>
          <w:b/>
          <w:sz w:val="32"/>
          <w:szCs w:val="32"/>
        </w:rPr>
        <w:t>．范围</w:t>
      </w:r>
      <w:r>
        <w:rPr>
          <w:rFonts w:eastAsia="仿宋" w:hint="eastAsia"/>
          <w:b/>
          <w:sz w:val="32"/>
          <w:szCs w:val="32"/>
        </w:rPr>
        <w:t>规范性引用文件</w:t>
      </w:r>
    </w:p>
    <w:p w14:paraId="1923E9EA"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编写本“规范”引用的相关标准及引用情况，主要是标准中涉及的恶臭（异味）污染物的分析测试方法标准、以及推荐的恶臭（异味）污染控制措施等。</w:t>
      </w:r>
    </w:p>
    <w:p w14:paraId="11D16BB2" w14:textId="77777777" w:rsidR="000E76B9" w:rsidRDefault="00A86600" w:rsidP="00850642">
      <w:pPr>
        <w:adjustRightInd w:val="0"/>
        <w:snapToGrid w:val="0"/>
        <w:spacing w:line="360" w:lineRule="auto"/>
        <w:ind w:firstLineChars="200" w:firstLine="643"/>
        <w:outlineLvl w:val="2"/>
        <w:rPr>
          <w:rFonts w:eastAsia="仿宋"/>
          <w:b/>
          <w:sz w:val="32"/>
          <w:szCs w:val="32"/>
        </w:rPr>
      </w:pPr>
      <w:r>
        <w:rPr>
          <w:rFonts w:eastAsia="仿宋" w:hint="eastAsia"/>
          <w:b/>
          <w:sz w:val="32"/>
          <w:szCs w:val="32"/>
        </w:rPr>
        <w:t>3</w:t>
      </w:r>
      <w:r>
        <w:rPr>
          <w:rFonts w:eastAsia="仿宋"/>
          <w:b/>
          <w:sz w:val="32"/>
          <w:szCs w:val="32"/>
        </w:rPr>
        <w:t>．</w:t>
      </w:r>
      <w:r>
        <w:rPr>
          <w:rFonts w:eastAsia="仿宋" w:hint="eastAsia"/>
          <w:b/>
          <w:sz w:val="32"/>
          <w:szCs w:val="32"/>
        </w:rPr>
        <w:t>术语和定义</w:t>
      </w:r>
    </w:p>
    <w:p w14:paraId="2A1D57E8" w14:textId="3AD7BA1D" w:rsidR="000E76B9" w:rsidRDefault="00A86600">
      <w:pPr>
        <w:widowControl/>
        <w:autoSpaceDE w:val="0"/>
        <w:autoSpaceDN w:val="0"/>
        <w:spacing w:line="360" w:lineRule="auto"/>
        <w:ind w:firstLineChars="200" w:firstLine="600"/>
        <w:rPr>
          <w:rFonts w:eastAsia="仿宋"/>
          <w:sz w:val="30"/>
          <w:szCs w:val="30"/>
        </w:rPr>
      </w:pPr>
      <w:r>
        <w:rPr>
          <w:rFonts w:eastAsia="仿宋"/>
          <w:sz w:val="30"/>
          <w:szCs w:val="30"/>
        </w:rPr>
        <w:t>本标准的术语与定义主要在</w:t>
      </w:r>
      <w:r>
        <w:rPr>
          <w:rFonts w:eastAsia="仿宋" w:hint="eastAsia"/>
          <w:sz w:val="30"/>
          <w:szCs w:val="30"/>
        </w:rPr>
        <w:t>中华人民共和国农业农村部印发的《病死及病害动物无害化处理技术规范》（农医发</w:t>
      </w:r>
      <w:r>
        <w:rPr>
          <w:rFonts w:eastAsia="仿宋" w:hint="eastAsia"/>
          <w:sz w:val="30"/>
          <w:szCs w:val="30"/>
        </w:rPr>
        <w:t>[2017]25</w:t>
      </w:r>
      <w:r>
        <w:rPr>
          <w:rFonts w:eastAsia="仿宋" w:hint="eastAsia"/>
          <w:sz w:val="30"/>
          <w:szCs w:val="30"/>
        </w:rPr>
        <w:t>号）和国家标准《恶臭污染物排放标准》（</w:t>
      </w:r>
      <w:r>
        <w:rPr>
          <w:rFonts w:eastAsia="仿宋"/>
          <w:sz w:val="30"/>
          <w:szCs w:val="30"/>
        </w:rPr>
        <w:t>GB 14554-</w:t>
      </w:r>
      <w:r>
        <w:rPr>
          <w:rFonts w:eastAsia="仿宋" w:hint="eastAsia"/>
          <w:sz w:val="30"/>
          <w:szCs w:val="30"/>
        </w:rPr>
        <w:t>93</w:t>
      </w:r>
      <w:r>
        <w:rPr>
          <w:rFonts w:eastAsia="仿宋" w:hint="eastAsia"/>
          <w:sz w:val="30"/>
          <w:szCs w:val="30"/>
        </w:rPr>
        <w:t>）以及</w:t>
      </w:r>
      <w:r>
        <w:rPr>
          <w:rFonts w:eastAsia="仿宋"/>
          <w:sz w:val="30"/>
          <w:szCs w:val="30"/>
        </w:rPr>
        <w:t>原有地方标准</w:t>
      </w:r>
      <w:r>
        <w:rPr>
          <w:rFonts w:eastAsia="仿宋" w:hint="eastAsia"/>
          <w:sz w:val="30"/>
          <w:szCs w:val="30"/>
        </w:rPr>
        <w:t>《恶臭污染物排放标准》（</w:t>
      </w:r>
      <w:r>
        <w:rPr>
          <w:rFonts w:eastAsia="仿宋"/>
          <w:sz w:val="30"/>
          <w:szCs w:val="30"/>
        </w:rPr>
        <w:t>DB 31/1025-2016</w:t>
      </w:r>
      <w:r>
        <w:rPr>
          <w:rFonts w:eastAsia="仿宋" w:hint="eastAsia"/>
          <w:sz w:val="30"/>
          <w:szCs w:val="30"/>
        </w:rPr>
        <w:t>）、《动物无害化收集场所通用技术规范》（</w:t>
      </w:r>
      <w:r>
        <w:rPr>
          <w:rFonts w:eastAsia="仿宋" w:hint="eastAsia"/>
          <w:sz w:val="30"/>
          <w:szCs w:val="30"/>
        </w:rPr>
        <w:t>DB 31/T 953</w:t>
      </w:r>
      <w:r>
        <w:rPr>
          <w:rFonts w:eastAsia="仿宋" w:hint="eastAsia"/>
          <w:sz w:val="30"/>
          <w:szCs w:val="30"/>
        </w:rPr>
        <w:t>）</w:t>
      </w:r>
      <w:r>
        <w:rPr>
          <w:rFonts w:eastAsia="仿宋"/>
          <w:sz w:val="30"/>
          <w:szCs w:val="30"/>
        </w:rPr>
        <w:t>的术语基础上，进行了适当优化，</w:t>
      </w:r>
      <w:r>
        <w:rPr>
          <w:rFonts w:eastAsia="仿宋" w:hint="eastAsia"/>
          <w:sz w:val="30"/>
          <w:szCs w:val="30"/>
        </w:rPr>
        <w:t>对</w:t>
      </w:r>
      <w:r>
        <w:rPr>
          <w:rFonts w:eastAsia="仿宋"/>
          <w:sz w:val="30"/>
          <w:szCs w:val="30"/>
        </w:rPr>
        <w:t>部分</w:t>
      </w:r>
      <w:r>
        <w:rPr>
          <w:rFonts w:eastAsia="仿宋" w:hint="eastAsia"/>
          <w:sz w:val="30"/>
          <w:szCs w:val="30"/>
        </w:rPr>
        <w:t>术语的定义</w:t>
      </w:r>
      <w:r>
        <w:rPr>
          <w:rFonts w:eastAsia="仿宋"/>
          <w:sz w:val="30"/>
          <w:szCs w:val="30"/>
        </w:rPr>
        <w:t>做了局部修改和补充完善</w:t>
      </w:r>
      <w:r>
        <w:rPr>
          <w:rFonts w:eastAsia="仿宋" w:hint="eastAsia"/>
          <w:sz w:val="30"/>
          <w:szCs w:val="30"/>
        </w:rPr>
        <w:t>，给出了包括无害化处理及相关场所、设施（</w:t>
      </w:r>
      <w:r>
        <w:rPr>
          <w:rFonts w:eastAsia="仿宋" w:hint="eastAsia"/>
          <w:sz w:val="30"/>
          <w:szCs w:val="30"/>
        </w:rPr>
        <w:t>5</w:t>
      </w:r>
      <w:r>
        <w:rPr>
          <w:rFonts w:eastAsia="仿宋" w:hint="eastAsia"/>
          <w:sz w:val="30"/>
          <w:szCs w:val="30"/>
        </w:rPr>
        <w:t>个）、恶臭（异味）污染物及污染控制指标（</w:t>
      </w:r>
      <w:r>
        <w:rPr>
          <w:rFonts w:eastAsia="仿宋" w:hint="eastAsia"/>
          <w:sz w:val="30"/>
          <w:szCs w:val="30"/>
        </w:rPr>
        <w:t>5</w:t>
      </w:r>
      <w:r>
        <w:rPr>
          <w:rFonts w:eastAsia="仿宋" w:hint="eastAsia"/>
          <w:sz w:val="30"/>
          <w:szCs w:val="30"/>
        </w:rPr>
        <w:t>个）、污染物考核位置（</w:t>
      </w:r>
      <w:r>
        <w:rPr>
          <w:rFonts w:eastAsia="仿宋" w:hint="eastAsia"/>
          <w:sz w:val="30"/>
          <w:szCs w:val="30"/>
        </w:rPr>
        <w:t>1</w:t>
      </w:r>
      <w:r>
        <w:rPr>
          <w:rFonts w:eastAsia="仿宋" w:hint="eastAsia"/>
          <w:sz w:val="30"/>
          <w:szCs w:val="30"/>
        </w:rPr>
        <w:t>个）在内的</w:t>
      </w:r>
      <w:r>
        <w:rPr>
          <w:rFonts w:eastAsia="仿宋" w:hint="eastAsia"/>
          <w:sz w:val="30"/>
          <w:szCs w:val="30"/>
        </w:rPr>
        <w:t>11</w:t>
      </w:r>
      <w:r>
        <w:rPr>
          <w:rFonts w:eastAsia="仿宋" w:hint="eastAsia"/>
          <w:sz w:val="30"/>
          <w:szCs w:val="30"/>
        </w:rPr>
        <w:t>个术语的</w:t>
      </w:r>
      <w:r>
        <w:rPr>
          <w:rFonts w:eastAsia="仿宋"/>
          <w:sz w:val="30"/>
          <w:szCs w:val="30"/>
        </w:rPr>
        <w:t>明确定义。</w:t>
      </w:r>
    </w:p>
    <w:p w14:paraId="42C21F02"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1</w:t>
      </w:r>
      <w:r>
        <w:rPr>
          <w:rFonts w:eastAsia="仿宋" w:hint="eastAsia"/>
          <w:b/>
          <w:sz w:val="30"/>
          <w:szCs w:val="30"/>
        </w:rPr>
        <w:t>）无害化处理</w:t>
      </w:r>
    </w:p>
    <w:p w14:paraId="2C2C6901" w14:textId="6A9BB80F" w:rsidR="000E76B9" w:rsidRDefault="00103CDC">
      <w:pPr>
        <w:widowControl/>
        <w:autoSpaceDE w:val="0"/>
        <w:autoSpaceDN w:val="0"/>
        <w:spacing w:line="360" w:lineRule="auto"/>
        <w:ind w:firstLineChars="200" w:firstLine="600"/>
        <w:rPr>
          <w:rFonts w:eastAsia="仿宋"/>
          <w:sz w:val="30"/>
          <w:szCs w:val="30"/>
        </w:rPr>
      </w:pPr>
      <w:r>
        <w:rPr>
          <w:rFonts w:eastAsia="仿宋" w:hint="eastAsia"/>
          <w:sz w:val="30"/>
          <w:szCs w:val="30"/>
        </w:rPr>
        <w:t>本标准管控目标为动物无害化处理行业全流程和全生命周期中的恶臭（异味）污染物，故</w:t>
      </w:r>
      <w:r w:rsidR="00A86600">
        <w:rPr>
          <w:rFonts w:eastAsia="仿宋" w:hint="eastAsia"/>
          <w:sz w:val="30"/>
          <w:szCs w:val="30"/>
        </w:rPr>
        <w:t>在《病死及病害动物无害化处理技术规范》（农医发</w:t>
      </w:r>
      <w:r w:rsidR="00A86600">
        <w:rPr>
          <w:rFonts w:eastAsia="仿宋" w:hint="eastAsia"/>
          <w:sz w:val="30"/>
          <w:szCs w:val="30"/>
        </w:rPr>
        <w:t>[2017]25</w:t>
      </w:r>
      <w:r w:rsidR="00A86600">
        <w:rPr>
          <w:rFonts w:eastAsia="仿宋" w:hint="eastAsia"/>
          <w:sz w:val="30"/>
          <w:szCs w:val="30"/>
        </w:rPr>
        <w:t>号）中的定义的基础上补充说明了病死及病害动物和相关动物产品的产生环节。</w:t>
      </w:r>
    </w:p>
    <w:p w14:paraId="3EC52248" w14:textId="77777777" w:rsidR="000E76B9" w:rsidRDefault="00A86600">
      <w:pPr>
        <w:widowControl/>
        <w:autoSpaceDE w:val="0"/>
        <w:autoSpaceDN w:val="0"/>
        <w:spacing w:line="360" w:lineRule="auto"/>
        <w:jc w:val="center"/>
        <w:rPr>
          <w:rFonts w:eastAsia="仿宋"/>
          <w:b/>
          <w:bCs/>
          <w:sz w:val="28"/>
          <w:szCs w:val="28"/>
        </w:rPr>
      </w:pPr>
      <w:r>
        <w:rPr>
          <w:rFonts w:eastAsia="仿宋" w:hint="eastAsia"/>
          <w:b/>
          <w:bCs/>
          <w:sz w:val="28"/>
          <w:szCs w:val="28"/>
        </w:rPr>
        <w:t>表</w:t>
      </w:r>
      <w:r>
        <w:rPr>
          <w:rFonts w:eastAsia="仿宋" w:hint="eastAsia"/>
          <w:b/>
          <w:bCs/>
          <w:sz w:val="28"/>
          <w:szCs w:val="28"/>
        </w:rPr>
        <w:t xml:space="preserve">5-1 </w:t>
      </w:r>
      <w:r>
        <w:rPr>
          <w:rFonts w:eastAsia="仿宋" w:hint="eastAsia"/>
          <w:b/>
          <w:bCs/>
          <w:sz w:val="28"/>
          <w:szCs w:val="28"/>
        </w:rPr>
        <w:t>无害化处理的定义</w:t>
      </w:r>
    </w:p>
    <w:tbl>
      <w:tblPr>
        <w:tblStyle w:val="af0"/>
        <w:tblW w:w="0" w:type="auto"/>
        <w:tblLook w:val="04A0" w:firstRow="1" w:lastRow="0" w:firstColumn="1" w:lastColumn="0" w:noHBand="0" w:noVBand="1"/>
      </w:tblPr>
      <w:tblGrid>
        <w:gridCol w:w="1413"/>
        <w:gridCol w:w="3118"/>
        <w:gridCol w:w="3759"/>
      </w:tblGrid>
      <w:tr w:rsidR="000E76B9" w14:paraId="4F3ECAC2" w14:textId="77777777">
        <w:tc>
          <w:tcPr>
            <w:tcW w:w="1413" w:type="dxa"/>
          </w:tcPr>
          <w:p w14:paraId="2BC0F29C" w14:textId="77777777" w:rsidR="000E76B9" w:rsidRDefault="00A86600">
            <w:pPr>
              <w:widowControl/>
              <w:autoSpaceDE w:val="0"/>
              <w:autoSpaceDN w:val="0"/>
              <w:spacing w:line="360" w:lineRule="auto"/>
              <w:jc w:val="center"/>
              <w:rPr>
                <w:rFonts w:eastAsia="仿宋"/>
                <w:sz w:val="24"/>
                <w:szCs w:val="24"/>
              </w:rPr>
            </w:pPr>
            <w:r>
              <w:rPr>
                <w:rFonts w:eastAsia="仿宋" w:hint="eastAsia"/>
                <w:sz w:val="24"/>
                <w:szCs w:val="24"/>
              </w:rPr>
              <w:t>来源</w:t>
            </w:r>
          </w:p>
        </w:tc>
        <w:tc>
          <w:tcPr>
            <w:tcW w:w="3118" w:type="dxa"/>
          </w:tcPr>
          <w:p w14:paraId="242804F8" w14:textId="77777777" w:rsidR="000E76B9" w:rsidRDefault="00A86600">
            <w:pPr>
              <w:widowControl/>
              <w:autoSpaceDE w:val="0"/>
              <w:autoSpaceDN w:val="0"/>
              <w:spacing w:line="360" w:lineRule="auto"/>
              <w:jc w:val="center"/>
              <w:rPr>
                <w:rFonts w:eastAsia="仿宋"/>
                <w:sz w:val="24"/>
                <w:szCs w:val="24"/>
              </w:rPr>
            </w:pPr>
            <w:r>
              <w:rPr>
                <w:rFonts w:eastAsia="仿宋" w:hint="eastAsia"/>
                <w:sz w:val="24"/>
                <w:szCs w:val="24"/>
              </w:rPr>
              <w:t>定义</w:t>
            </w:r>
          </w:p>
        </w:tc>
        <w:tc>
          <w:tcPr>
            <w:tcW w:w="3759" w:type="dxa"/>
          </w:tcPr>
          <w:p w14:paraId="2E535DB6" w14:textId="77777777" w:rsidR="000E76B9" w:rsidRDefault="00A86600">
            <w:pPr>
              <w:widowControl/>
              <w:autoSpaceDE w:val="0"/>
              <w:autoSpaceDN w:val="0"/>
              <w:spacing w:line="360" w:lineRule="auto"/>
              <w:jc w:val="center"/>
              <w:rPr>
                <w:rFonts w:eastAsia="仿宋"/>
                <w:sz w:val="24"/>
                <w:szCs w:val="24"/>
              </w:rPr>
            </w:pPr>
            <w:r>
              <w:rPr>
                <w:rFonts w:eastAsia="仿宋" w:hint="eastAsia"/>
                <w:sz w:val="24"/>
                <w:szCs w:val="24"/>
              </w:rPr>
              <w:t>本标准选择</w:t>
            </w:r>
          </w:p>
        </w:tc>
      </w:tr>
      <w:tr w:rsidR="000E76B9" w14:paraId="44580816" w14:textId="77777777">
        <w:tc>
          <w:tcPr>
            <w:tcW w:w="1413" w:type="dxa"/>
          </w:tcPr>
          <w:p w14:paraId="36F564CC" w14:textId="77777777" w:rsidR="000E76B9" w:rsidRDefault="00A86600">
            <w:pPr>
              <w:widowControl/>
              <w:autoSpaceDE w:val="0"/>
              <w:autoSpaceDN w:val="0"/>
              <w:spacing w:line="360" w:lineRule="auto"/>
              <w:jc w:val="center"/>
              <w:rPr>
                <w:rFonts w:eastAsia="仿宋"/>
                <w:sz w:val="24"/>
                <w:szCs w:val="24"/>
              </w:rPr>
            </w:pPr>
            <w:r>
              <w:rPr>
                <w:rFonts w:eastAsia="仿宋" w:hint="eastAsia"/>
                <w:sz w:val="24"/>
                <w:szCs w:val="24"/>
              </w:rPr>
              <w:lastRenderedPageBreak/>
              <w:t>农医发</w:t>
            </w:r>
            <w:r>
              <w:rPr>
                <w:rFonts w:eastAsia="仿宋" w:hint="eastAsia"/>
                <w:sz w:val="24"/>
                <w:szCs w:val="24"/>
              </w:rPr>
              <w:t>[2017]25</w:t>
            </w:r>
            <w:r>
              <w:rPr>
                <w:rFonts w:eastAsia="仿宋" w:hint="eastAsia"/>
                <w:sz w:val="24"/>
                <w:szCs w:val="24"/>
              </w:rPr>
              <w:t>号</w:t>
            </w:r>
          </w:p>
        </w:tc>
        <w:tc>
          <w:tcPr>
            <w:tcW w:w="3118" w:type="dxa"/>
          </w:tcPr>
          <w:p w14:paraId="7F28A44C" w14:textId="77777777" w:rsidR="000E76B9" w:rsidRDefault="00A86600">
            <w:pPr>
              <w:widowControl/>
              <w:autoSpaceDE w:val="0"/>
              <w:autoSpaceDN w:val="0"/>
              <w:spacing w:line="360" w:lineRule="auto"/>
              <w:jc w:val="left"/>
              <w:rPr>
                <w:rFonts w:eastAsia="仿宋"/>
                <w:sz w:val="24"/>
                <w:szCs w:val="24"/>
              </w:rPr>
            </w:pPr>
            <w:r>
              <w:rPr>
                <w:rFonts w:eastAsia="仿宋" w:hint="eastAsia"/>
                <w:sz w:val="24"/>
                <w:szCs w:val="24"/>
              </w:rPr>
              <w:t>用物理、化学等方法处理病死及病害动物和相关动物产品，消灭其所携带的病原体，消除危害的过程。</w:t>
            </w:r>
          </w:p>
        </w:tc>
        <w:tc>
          <w:tcPr>
            <w:tcW w:w="3759" w:type="dxa"/>
          </w:tcPr>
          <w:p w14:paraId="5533EEAB" w14:textId="77777777" w:rsidR="000E76B9" w:rsidRDefault="00A86600">
            <w:pPr>
              <w:widowControl/>
              <w:autoSpaceDE w:val="0"/>
              <w:autoSpaceDN w:val="0"/>
              <w:spacing w:line="360" w:lineRule="auto"/>
              <w:jc w:val="left"/>
              <w:rPr>
                <w:rFonts w:eastAsia="仿宋"/>
                <w:sz w:val="24"/>
                <w:szCs w:val="24"/>
              </w:rPr>
            </w:pPr>
            <w:r>
              <w:rPr>
                <w:rFonts w:eastAsia="仿宋" w:hint="eastAsia"/>
                <w:sz w:val="24"/>
                <w:szCs w:val="24"/>
              </w:rPr>
              <w:t>用物理、化学等方法处理畜禽饲养、屠宰、经营、隔离、运输等过程中病死及病害动物和相关动物产品，消灭其所携带的病原体，消除危害的过程。</w:t>
            </w:r>
          </w:p>
        </w:tc>
      </w:tr>
    </w:tbl>
    <w:p w14:paraId="003B1866"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2</w:t>
      </w:r>
      <w:r>
        <w:rPr>
          <w:rFonts w:eastAsia="仿宋" w:hint="eastAsia"/>
          <w:b/>
          <w:sz w:val="30"/>
          <w:szCs w:val="30"/>
        </w:rPr>
        <w:t>）动物无害化收集场所</w:t>
      </w:r>
    </w:p>
    <w:p w14:paraId="7623C3D0" w14:textId="010BAFB3"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与《动物无害化收集场所通用技术规范》（</w:t>
      </w:r>
      <w:r>
        <w:rPr>
          <w:rFonts w:eastAsia="仿宋" w:hint="eastAsia"/>
          <w:sz w:val="30"/>
          <w:szCs w:val="30"/>
        </w:rPr>
        <w:t>DB31/T 953-2015</w:t>
      </w:r>
      <w:r>
        <w:rPr>
          <w:rFonts w:eastAsia="仿宋" w:hint="eastAsia"/>
          <w:sz w:val="30"/>
          <w:szCs w:val="30"/>
        </w:rPr>
        <w:t>）中的定义保持一致：用于暂时存放病死动物尸体的建筑物或场所，包括规模化养殖场自设的收集和区域性集中收集场所。</w:t>
      </w:r>
    </w:p>
    <w:p w14:paraId="551BFCB2"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3</w:t>
      </w:r>
      <w:r>
        <w:rPr>
          <w:rFonts w:eastAsia="仿宋" w:hint="eastAsia"/>
          <w:b/>
          <w:sz w:val="30"/>
          <w:szCs w:val="30"/>
        </w:rPr>
        <w:t>）动物无害化处理场所</w:t>
      </w:r>
    </w:p>
    <w:p w14:paraId="2DBA23BD" w14:textId="77777777" w:rsidR="000E76B9" w:rsidRDefault="00A86600">
      <w:pPr>
        <w:widowControl/>
        <w:autoSpaceDE w:val="0"/>
        <w:autoSpaceDN w:val="0"/>
        <w:spacing w:line="360" w:lineRule="auto"/>
        <w:ind w:firstLineChars="200" w:firstLine="600"/>
        <w:rPr>
          <w:rFonts w:eastAsia="仿宋"/>
          <w:sz w:val="30"/>
          <w:szCs w:val="30"/>
        </w:rPr>
      </w:pPr>
      <w:r>
        <w:rPr>
          <w:rFonts w:eastAsia="仿宋"/>
          <w:sz w:val="30"/>
          <w:szCs w:val="30"/>
        </w:rPr>
        <w:t>动物无害化处理场所是指对</w:t>
      </w:r>
      <w:r>
        <w:rPr>
          <w:rFonts w:eastAsia="仿宋" w:hint="eastAsia"/>
          <w:sz w:val="30"/>
          <w:szCs w:val="30"/>
        </w:rPr>
        <w:t>病死及病害动物和相关动物产品</w:t>
      </w:r>
      <w:r>
        <w:rPr>
          <w:rFonts w:eastAsia="仿宋"/>
          <w:sz w:val="30"/>
          <w:szCs w:val="30"/>
        </w:rPr>
        <w:t>进行无害化处理的</w:t>
      </w:r>
      <w:r>
        <w:rPr>
          <w:rFonts w:eastAsia="仿宋" w:hint="eastAsia"/>
          <w:sz w:val="30"/>
          <w:szCs w:val="30"/>
        </w:rPr>
        <w:t>场所</w:t>
      </w:r>
      <w:r>
        <w:rPr>
          <w:rFonts w:eastAsia="仿宋"/>
          <w:sz w:val="30"/>
          <w:szCs w:val="30"/>
        </w:rPr>
        <w:t>，其主要目的是防止动物疫病的传播，保护环境和公共卫生安全。</w:t>
      </w:r>
      <w:r>
        <w:rPr>
          <w:rFonts w:eastAsia="仿宋" w:hint="eastAsia"/>
          <w:sz w:val="30"/>
          <w:szCs w:val="30"/>
        </w:rPr>
        <w:t>动物无害化处理场建设应具备国家规定的动物防疫条件，处理方法和工艺应符合相应的操作技术规范。因此定义为生产工艺及动物防疫条件符合国家相关规定，专门对动物尸体及动物产品进行无害化处理的场所。</w:t>
      </w:r>
    </w:p>
    <w:p w14:paraId="58F9D2CA"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4</w:t>
      </w:r>
      <w:r>
        <w:rPr>
          <w:rFonts w:eastAsia="仿宋" w:hint="eastAsia"/>
          <w:b/>
          <w:sz w:val="30"/>
          <w:szCs w:val="30"/>
        </w:rPr>
        <w:t>）恶臭（异味）污染物</w:t>
      </w:r>
    </w:p>
    <w:p w14:paraId="03187404"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与《恶臭（异味）污染物排放标准》（</w:t>
      </w:r>
      <w:r>
        <w:rPr>
          <w:rFonts w:eastAsia="仿宋" w:hint="eastAsia"/>
          <w:sz w:val="30"/>
          <w:szCs w:val="30"/>
        </w:rPr>
        <w:t>DB/31 1025-2016</w:t>
      </w:r>
      <w:r>
        <w:rPr>
          <w:rFonts w:eastAsia="仿宋" w:hint="eastAsia"/>
          <w:sz w:val="30"/>
          <w:szCs w:val="30"/>
        </w:rPr>
        <w:t>）中的定义保持一致：一切刺激嗅觉器官引起人们不愉快感觉及损害生活环境的气体物质。</w:t>
      </w:r>
    </w:p>
    <w:p w14:paraId="5C276EC1"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5</w:t>
      </w:r>
      <w:r>
        <w:rPr>
          <w:rFonts w:eastAsia="仿宋" w:hint="eastAsia"/>
          <w:b/>
          <w:sz w:val="30"/>
          <w:szCs w:val="30"/>
        </w:rPr>
        <w:t>）臭气浓度</w:t>
      </w:r>
    </w:p>
    <w:p w14:paraId="6FD0CFE2"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lastRenderedPageBreak/>
        <w:t>与《恶臭（异味）污染物排放标准》（</w:t>
      </w:r>
      <w:r>
        <w:rPr>
          <w:rFonts w:eastAsia="仿宋" w:hint="eastAsia"/>
          <w:sz w:val="30"/>
          <w:szCs w:val="30"/>
        </w:rPr>
        <w:t>DB/31 1025-2016</w:t>
      </w:r>
      <w:r>
        <w:rPr>
          <w:rFonts w:eastAsia="仿宋" w:hint="eastAsia"/>
          <w:sz w:val="30"/>
          <w:szCs w:val="30"/>
        </w:rPr>
        <w:t>）中的定义保持一致：用无臭的清洁空气对恶臭（异味）样品稀释至嗅辨员感知阈值时的稀释倍数，单位为无量纲。</w:t>
      </w:r>
    </w:p>
    <w:p w14:paraId="38C405EA"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6</w:t>
      </w:r>
      <w:r>
        <w:rPr>
          <w:rFonts w:eastAsia="仿宋" w:hint="eastAsia"/>
          <w:b/>
          <w:sz w:val="30"/>
          <w:szCs w:val="30"/>
        </w:rPr>
        <w:t>）排气筒高度</w:t>
      </w:r>
    </w:p>
    <w:p w14:paraId="5323C2BD"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与《恶臭（异味）污染物排放标准》（</w:t>
      </w:r>
      <w:r>
        <w:rPr>
          <w:rFonts w:eastAsia="仿宋" w:hint="eastAsia"/>
          <w:sz w:val="30"/>
          <w:szCs w:val="30"/>
        </w:rPr>
        <w:t>DB/31 1025-2016</w:t>
      </w:r>
      <w:r>
        <w:rPr>
          <w:rFonts w:eastAsia="仿宋" w:hint="eastAsia"/>
          <w:sz w:val="30"/>
          <w:szCs w:val="30"/>
        </w:rPr>
        <w:t>）中的定义保持一致：自排气筒（或其主体建筑构造）所在的地平面至排气筒出口计的高度，单位为</w:t>
      </w:r>
      <w:r>
        <w:rPr>
          <w:rFonts w:eastAsia="仿宋" w:hint="eastAsia"/>
          <w:sz w:val="30"/>
          <w:szCs w:val="30"/>
        </w:rPr>
        <w:t>m</w:t>
      </w:r>
      <w:r>
        <w:rPr>
          <w:rFonts w:eastAsia="仿宋" w:hint="eastAsia"/>
          <w:sz w:val="30"/>
          <w:szCs w:val="30"/>
        </w:rPr>
        <w:t>。</w:t>
      </w:r>
    </w:p>
    <w:p w14:paraId="1DF2B99C"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7</w:t>
      </w:r>
      <w:r>
        <w:rPr>
          <w:rFonts w:eastAsia="仿宋" w:hint="eastAsia"/>
          <w:b/>
          <w:sz w:val="30"/>
          <w:szCs w:val="30"/>
        </w:rPr>
        <w:t>）最高允许排放浓度</w:t>
      </w:r>
    </w:p>
    <w:p w14:paraId="03C74D33"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与《恶臭（异味）污染物排放标准》（</w:t>
      </w:r>
      <w:r>
        <w:rPr>
          <w:rFonts w:eastAsia="仿宋" w:hint="eastAsia"/>
          <w:sz w:val="30"/>
          <w:szCs w:val="30"/>
        </w:rPr>
        <w:t>DB/31 1025-2016</w:t>
      </w:r>
      <w:r>
        <w:rPr>
          <w:rFonts w:eastAsia="仿宋" w:hint="eastAsia"/>
          <w:sz w:val="30"/>
          <w:szCs w:val="30"/>
        </w:rPr>
        <w:t>）中的定义保持</w:t>
      </w:r>
      <w:r>
        <w:rPr>
          <w:rFonts w:eastAsia="仿宋"/>
          <w:sz w:val="30"/>
          <w:szCs w:val="30"/>
        </w:rPr>
        <w:t>一致：</w:t>
      </w:r>
      <w:r>
        <w:rPr>
          <w:rFonts w:eastAsia="仿宋" w:hint="eastAsia"/>
          <w:sz w:val="30"/>
          <w:szCs w:val="30"/>
        </w:rPr>
        <w:t>排气筒中恶臭（异味）污染物任何一小时浓度平均值不得超过的值，单位为</w:t>
      </w:r>
      <w:r>
        <w:rPr>
          <w:rFonts w:eastAsia="仿宋"/>
          <w:sz w:val="30"/>
          <w:szCs w:val="30"/>
        </w:rPr>
        <w:t>mg/m³</w:t>
      </w:r>
      <w:r>
        <w:rPr>
          <w:rFonts w:eastAsia="仿宋"/>
          <w:sz w:val="30"/>
          <w:szCs w:val="30"/>
        </w:rPr>
        <w:t>。</w:t>
      </w:r>
    </w:p>
    <w:p w14:paraId="0FE9417F"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8</w:t>
      </w:r>
      <w:r>
        <w:rPr>
          <w:rFonts w:eastAsia="仿宋" w:hint="eastAsia"/>
          <w:b/>
          <w:sz w:val="30"/>
          <w:szCs w:val="30"/>
        </w:rPr>
        <w:t>）最高允许排放速率</w:t>
      </w:r>
    </w:p>
    <w:p w14:paraId="02825FCF"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与《恶臭（异味）污染物排放标准》（</w:t>
      </w:r>
      <w:r>
        <w:rPr>
          <w:rFonts w:eastAsia="仿宋" w:hint="eastAsia"/>
          <w:sz w:val="30"/>
          <w:szCs w:val="30"/>
        </w:rPr>
        <w:t>DB/31 1025-2016</w:t>
      </w:r>
      <w:r>
        <w:rPr>
          <w:rFonts w:eastAsia="仿宋" w:hint="eastAsia"/>
          <w:sz w:val="30"/>
          <w:szCs w:val="30"/>
        </w:rPr>
        <w:t>）中的定义保持一致：排气筒中恶臭（异味）污染物任何一小时所排放的污染物的质量不得超过的值，单位</w:t>
      </w:r>
      <w:r>
        <w:rPr>
          <w:rFonts w:eastAsia="仿宋" w:hint="eastAsia"/>
          <w:sz w:val="30"/>
          <w:szCs w:val="30"/>
        </w:rPr>
        <w:t>kg/h</w:t>
      </w:r>
      <w:r>
        <w:rPr>
          <w:rFonts w:eastAsia="仿宋" w:hint="eastAsia"/>
          <w:sz w:val="30"/>
          <w:szCs w:val="30"/>
        </w:rPr>
        <w:t>。</w:t>
      </w:r>
    </w:p>
    <w:p w14:paraId="5EA2444A"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9</w:t>
      </w:r>
      <w:r>
        <w:rPr>
          <w:rFonts w:eastAsia="仿宋" w:hint="eastAsia"/>
          <w:b/>
          <w:sz w:val="30"/>
          <w:szCs w:val="30"/>
        </w:rPr>
        <w:t>）周界</w:t>
      </w:r>
    </w:p>
    <w:p w14:paraId="1222BEA7" w14:textId="77777777" w:rsidR="000E76B9" w:rsidRDefault="00A86600" w:rsidP="00850642">
      <w:pPr>
        <w:widowControl/>
        <w:autoSpaceDE w:val="0"/>
        <w:autoSpaceDN w:val="0"/>
        <w:spacing w:line="360" w:lineRule="auto"/>
        <w:ind w:firstLineChars="200" w:firstLine="600"/>
        <w:rPr>
          <w:rFonts w:eastAsia="仿宋"/>
          <w:sz w:val="30"/>
          <w:szCs w:val="30"/>
        </w:rPr>
      </w:pPr>
      <w:r>
        <w:rPr>
          <w:rFonts w:eastAsia="仿宋" w:hint="eastAsia"/>
          <w:sz w:val="30"/>
          <w:szCs w:val="30"/>
        </w:rPr>
        <w:t>与《恶臭（异味）污染物排放标准》（</w:t>
      </w:r>
      <w:r>
        <w:rPr>
          <w:rFonts w:eastAsia="仿宋" w:hint="eastAsia"/>
          <w:sz w:val="30"/>
          <w:szCs w:val="30"/>
        </w:rPr>
        <w:t>DB/31 1025-2016</w:t>
      </w:r>
      <w:r>
        <w:rPr>
          <w:rFonts w:eastAsia="仿宋" w:hint="eastAsia"/>
          <w:sz w:val="30"/>
          <w:szCs w:val="30"/>
        </w:rPr>
        <w:t>）中的定义保持一致：恶臭（异味）污染源的法定边界。若无法定边界，则指实际占地边界。</w:t>
      </w:r>
    </w:p>
    <w:p w14:paraId="59F8C922"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10</w:t>
      </w:r>
      <w:r>
        <w:rPr>
          <w:rFonts w:eastAsia="仿宋" w:hint="eastAsia"/>
          <w:b/>
          <w:sz w:val="30"/>
          <w:szCs w:val="30"/>
        </w:rPr>
        <w:t>）周界监控点</w:t>
      </w:r>
    </w:p>
    <w:p w14:paraId="38490D98"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与《恶臭（异味）污染物排放标准》（</w:t>
      </w:r>
      <w:r>
        <w:rPr>
          <w:rFonts w:eastAsia="仿宋" w:hint="eastAsia"/>
          <w:sz w:val="30"/>
          <w:szCs w:val="30"/>
        </w:rPr>
        <w:t>DB/31 1025-2016</w:t>
      </w:r>
      <w:r>
        <w:rPr>
          <w:rFonts w:eastAsia="仿宋" w:hint="eastAsia"/>
          <w:sz w:val="30"/>
          <w:szCs w:val="30"/>
        </w:rPr>
        <w:t>）中的定义保持一致：恶臭（异味）污染源的法定边界线上。根据恶</w:t>
      </w:r>
      <w:r>
        <w:rPr>
          <w:rFonts w:eastAsia="仿宋" w:hint="eastAsia"/>
          <w:sz w:val="30"/>
          <w:szCs w:val="30"/>
        </w:rPr>
        <w:lastRenderedPageBreak/>
        <w:t>臭（异味）污染物的排放、扩散规律，当受条件限制，无法按上述要求布设监测采样点时，也可将监测采样点设于恶臭（异味）污染源周界内靠近边界的位置。</w:t>
      </w:r>
    </w:p>
    <w:p w14:paraId="659B5DCD"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11</w:t>
      </w:r>
      <w:r>
        <w:rPr>
          <w:rFonts w:eastAsia="仿宋" w:hint="eastAsia"/>
          <w:b/>
          <w:sz w:val="30"/>
          <w:szCs w:val="30"/>
        </w:rPr>
        <w:t>）恶臭（异味）污染物控制设施</w:t>
      </w:r>
    </w:p>
    <w:p w14:paraId="146A7CA8"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与《恶臭（异味）污染物排放标准》（</w:t>
      </w:r>
      <w:r>
        <w:rPr>
          <w:rFonts w:eastAsia="仿宋" w:hint="eastAsia"/>
          <w:sz w:val="30"/>
          <w:szCs w:val="30"/>
        </w:rPr>
        <w:t>DB/31 1025-2016</w:t>
      </w:r>
      <w:r>
        <w:rPr>
          <w:rFonts w:eastAsia="仿宋" w:hint="eastAsia"/>
          <w:sz w:val="30"/>
          <w:szCs w:val="30"/>
        </w:rPr>
        <w:t>）中的定义保持一致：用于减少恶臭（异味）污染物向空气中排放的焚烧装置、催化装置、吸收装置、吸附装置、冷凝装置、生物处理设施、等离子体装置、光解装置、光催化装置或者其他有效的控制设施。</w:t>
      </w:r>
    </w:p>
    <w:p w14:paraId="543D042F" w14:textId="77777777" w:rsidR="000E76B9" w:rsidRDefault="00A86600" w:rsidP="00850642">
      <w:pPr>
        <w:adjustRightInd w:val="0"/>
        <w:snapToGrid w:val="0"/>
        <w:spacing w:line="360" w:lineRule="auto"/>
        <w:ind w:firstLineChars="200" w:firstLine="643"/>
        <w:outlineLvl w:val="2"/>
        <w:rPr>
          <w:rFonts w:eastAsia="仿宋"/>
          <w:b/>
          <w:sz w:val="32"/>
          <w:szCs w:val="32"/>
        </w:rPr>
      </w:pPr>
      <w:r>
        <w:rPr>
          <w:rFonts w:eastAsia="仿宋" w:hint="eastAsia"/>
          <w:b/>
          <w:sz w:val="32"/>
          <w:szCs w:val="32"/>
        </w:rPr>
        <w:t>4</w:t>
      </w:r>
      <w:r>
        <w:rPr>
          <w:rFonts w:eastAsia="仿宋"/>
          <w:b/>
          <w:sz w:val="32"/>
          <w:szCs w:val="32"/>
        </w:rPr>
        <w:t>．</w:t>
      </w:r>
      <w:r>
        <w:rPr>
          <w:rFonts w:eastAsia="仿宋" w:hint="eastAsia"/>
          <w:b/>
          <w:sz w:val="32"/>
          <w:szCs w:val="32"/>
        </w:rPr>
        <w:t>恶臭（异味）污染物排放控制</w:t>
      </w:r>
    </w:p>
    <w:p w14:paraId="43D66008"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1</w:t>
      </w:r>
      <w:r>
        <w:rPr>
          <w:rFonts w:eastAsia="仿宋" w:hint="eastAsia"/>
          <w:b/>
          <w:sz w:val="30"/>
          <w:szCs w:val="30"/>
        </w:rPr>
        <w:t>）源头控制</w:t>
      </w:r>
    </w:p>
    <w:p w14:paraId="122EEE66"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动物无害化收集及处理设施的选址是从源头规避相关设施恶臭（异味）对周边环境产生不利影响的关键环节。本规范参考《动物无害化收集场所通用技术规范》、《动物无害化集中处理场所通用技术规范》、《动物防疫条件审查办法》及生活垃圾焚烧、填埋等易产生恶臭（异味）影响的市政设施选址布局要求，从规划和法规符合性、生态环境及人类健康保护、污染源布局和隔离措施角度，提出了较为完善的无害化收集和集中处理场所的源头控制措施。</w:t>
      </w:r>
    </w:p>
    <w:p w14:paraId="2D7C6A37"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2</w:t>
      </w:r>
      <w:r>
        <w:rPr>
          <w:rFonts w:eastAsia="仿宋" w:hint="eastAsia"/>
          <w:b/>
          <w:sz w:val="30"/>
          <w:szCs w:val="30"/>
        </w:rPr>
        <w:t>）收集过程控制</w:t>
      </w:r>
    </w:p>
    <w:p w14:paraId="19038B70"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收集过程的恶臭（异味）主要由动物尸体腐烂产生，特别在高温季节，由于部分畜禽养殖场或收集点无冷藏</w:t>
      </w:r>
      <w:r>
        <w:rPr>
          <w:rFonts w:eastAsia="仿宋" w:hint="eastAsia"/>
          <w:sz w:val="30"/>
          <w:szCs w:val="30"/>
        </w:rPr>
        <w:t>/</w:t>
      </w:r>
      <w:r>
        <w:rPr>
          <w:rFonts w:eastAsia="仿宋" w:hint="eastAsia"/>
          <w:sz w:val="30"/>
          <w:szCs w:val="30"/>
        </w:rPr>
        <w:t>冷冻设备，动物</w:t>
      </w:r>
      <w:r>
        <w:rPr>
          <w:rFonts w:eastAsia="仿宋" w:hint="eastAsia"/>
          <w:sz w:val="30"/>
          <w:szCs w:val="30"/>
        </w:rPr>
        <w:lastRenderedPageBreak/>
        <w:t>尸体在收运前已高度腐烂。因此，结合《病死及病害动物无害化处理技术规范》等规范要求，对畜禽养殖场或收集点提出了冷藏</w:t>
      </w:r>
      <w:r>
        <w:rPr>
          <w:rFonts w:eastAsia="仿宋" w:hint="eastAsia"/>
          <w:sz w:val="30"/>
          <w:szCs w:val="30"/>
        </w:rPr>
        <w:t>/</w:t>
      </w:r>
      <w:r>
        <w:rPr>
          <w:rFonts w:eastAsia="仿宋" w:hint="eastAsia"/>
          <w:sz w:val="30"/>
          <w:szCs w:val="30"/>
        </w:rPr>
        <w:t>冷冻设备配备要求，也明确了物料包装材料的密闭、防水、防渗、防破损、耐腐蚀等要求。</w:t>
      </w:r>
    </w:p>
    <w:p w14:paraId="3808F7CB"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3</w:t>
      </w:r>
      <w:r>
        <w:rPr>
          <w:rFonts w:eastAsia="仿宋" w:hint="eastAsia"/>
          <w:b/>
          <w:sz w:val="30"/>
          <w:szCs w:val="30"/>
        </w:rPr>
        <w:t>）运输过程控制</w:t>
      </w:r>
    </w:p>
    <w:p w14:paraId="4B16F1C0"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运输过程的恶臭（异味）主要源自运输车辆不规范，可能存在病死、病害动物远距离运输释放的尸体腐烂异味。结合《动物防疫条件审查办法》、《动物无害化收集转运技术规范》、《病死动物无害化处理技术规程》等规范以及编写组现场调研情况，提出运输过程的恶臭（异味）污染控制措施。明确了物料专用运输车辆的要求，装车、卸货时对物料、车辆、生产区的消毒清洗要求，提出了专用车辆运输路线的要求。</w:t>
      </w:r>
    </w:p>
    <w:p w14:paraId="4A4525C5"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4</w:t>
      </w:r>
      <w:r>
        <w:rPr>
          <w:rFonts w:eastAsia="仿宋" w:hint="eastAsia"/>
          <w:b/>
          <w:sz w:val="30"/>
          <w:szCs w:val="30"/>
        </w:rPr>
        <w:t>）暂存过程控制</w:t>
      </w:r>
    </w:p>
    <w:p w14:paraId="59C6DA4B"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暂存过程的恶臭（异味）污染主要源自物料由专业车辆运至无害化处理场所卸料后，其包装破袋时产生的较高浓度的臭气；以及物料投料至暂存罐的开合过程，也会产生较高浓度臭气。结合《病死及病害动物无害化处理技术规范》等规范要求及相关项目中采取的管控措施，从设施密闭、逸散控制和恶臭（异味）治理措施角度，提出暂存过程的恶臭（异味）污染控制措施。</w:t>
      </w:r>
    </w:p>
    <w:p w14:paraId="3CB16662"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5</w:t>
      </w:r>
      <w:r>
        <w:rPr>
          <w:rFonts w:eastAsia="仿宋" w:hint="eastAsia"/>
          <w:b/>
          <w:sz w:val="30"/>
          <w:szCs w:val="30"/>
        </w:rPr>
        <w:t>）无害化处理过程控制</w:t>
      </w:r>
    </w:p>
    <w:p w14:paraId="7CB19018"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无害化处理过程臭气源包括：预处理（破碎、切割）、内部物料输送等过程中输送机、泵送挤压导致物料臭气挥发、输送管</w:t>
      </w:r>
      <w:r>
        <w:rPr>
          <w:rFonts w:eastAsia="仿宋" w:hint="eastAsia"/>
          <w:sz w:val="30"/>
          <w:szCs w:val="30"/>
        </w:rPr>
        <w:lastRenderedPageBreak/>
        <w:t>道内物料残渣残留发酵等产生的臭气（异味），以及污水处理及污泥脱水、暂存产生的臭气（异味），主要成分为氨、胺类、硫化氢和甲硫醇等。结合《病死及病害动物无害化处理技术规范》、</w:t>
      </w:r>
      <w:r>
        <w:rPr>
          <w:rFonts w:eastAsia="仿宋" w:hint="eastAsia"/>
          <w:sz w:val="30"/>
          <w:szCs w:val="30"/>
        </w:rPr>
        <w:t>HJ2026</w:t>
      </w:r>
      <w:r>
        <w:rPr>
          <w:rFonts w:eastAsia="仿宋" w:hint="eastAsia"/>
          <w:sz w:val="30"/>
          <w:szCs w:val="30"/>
        </w:rPr>
        <w:t>、</w:t>
      </w:r>
      <w:r>
        <w:rPr>
          <w:rFonts w:eastAsia="仿宋" w:hint="eastAsia"/>
          <w:sz w:val="30"/>
          <w:szCs w:val="30"/>
        </w:rPr>
        <w:t>HJ 2027</w:t>
      </w:r>
      <w:r>
        <w:rPr>
          <w:rFonts w:eastAsia="仿宋" w:hint="eastAsia"/>
          <w:sz w:val="30"/>
          <w:szCs w:val="30"/>
        </w:rPr>
        <w:t>和</w:t>
      </w:r>
      <w:r>
        <w:rPr>
          <w:rFonts w:eastAsia="仿宋" w:hint="eastAsia"/>
          <w:sz w:val="30"/>
          <w:szCs w:val="30"/>
        </w:rPr>
        <w:t>HJ1093</w:t>
      </w:r>
      <w:r>
        <w:rPr>
          <w:rFonts w:eastAsia="仿宋" w:hint="eastAsia"/>
          <w:sz w:val="30"/>
          <w:szCs w:val="30"/>
        </w:rPr>
        <w:t>及相关调研结果，根据无害化处理过程的预处理、内部物料输送、焚烧、污水处理、污泥暂存等不同工艺环节和流程提出了各环节的恶臭（异味）污染控制措施和技术要求，并对典型的恶臭（异味）污染控制措施提出了推荐技术要求。</w:t>
      </w:r>
    </w:p>
    <w:p w14:paraId="42F1E866"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6</w:t>
      </w:r>
      <w:r>
        <w:rPr>
          <w:rFonts w:eastAsia="仿宋" w:hint="eastAsia"/>
          <w:b/>
          <w:sz w:val="30"/>
          <w:szCs w:val="30"/>
        </w:rPr>
        <w:t>）应急处置</w:t>
      </w:r>
    </w:p>
    <w:p w14:paraId="556D584F" w14:textId="57C2726D"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根据上海市《恶臭（异味）污染物排放标准》（</w:t>
      </w:r>
      <w:r>
        <w:rPr>
          <w:rFonts w:eastAsia="仿宋" w:hint="eastAsia"/>
          <w:sz w:val="30"/>
          <w:szCs w:val="30"/>
        </w:rPr>
        <w:t>DB 31/1025-2016</w:t>
      </w:r>
      <w:r>
        <w:rPr>
          <w:rFonts w:eastAsia="仿宋" w:hint="eastAsia"/>
          <w:sz w:val="30"/>
          <w:szCs w:val="30"/>
        </w:rPr>
        <w:t>）的要求，产生恶臭（异味）污染物的设施或建（构）筑物必须设立局部或整体的密闭排气系统实现达标排放。本规范规定，除臭设施出现故障时，应立即停止主要产臭单元的作业或及时启用备用的除臭系统。对于采用焚烧法处理卸料间及切割间恶臭（异味）污染物的场所，应考虑焚烧炉停炉检修等非正常工况下恶臭（异味）污染物应急处置，并配备恶臭（异味）污染物应急处理系统。</w:t>
      </w:r>
    </w:p>
    <w:p w14:paraId="5EE1C4EF"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7</w:t>
      </w:r>
      <w:r>
        <w:rPr>
          <w:rFonts w:eastAsia="仿宋" w:hint="eastAsia"/>
          <w:b/>
          <w:sz w:val="30"/>
          <w:szCs w:val="30"/>
        </w:rPr>
        <w:t>）排放控制</w:t>
      </w:r>
    </w:p>
    <w:p w14:paraId="164CF6CB"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参考</w:t>
      </w:r>
      <w:r>
        <w:rPr>
          <w:rFonts w:eastAsia="仿宋" w:hint="eastAsia"/>
          <w:sz w:val="30"/>
          <w:szCs w:val="30"/>
        </w:rPr>
        <w:t>GB/T 16157-1996</w:t>
      </w:r>
      <w:r>
        <w:rPr>
          <w:rFonts w:eastAsia="仿宋" w:hint="eastAsia"/>
          <w:sz w:val="30"/>
          <w:szCs w:val="30"/>
        </w:rPr>
        <w:t>《固定污染源排气中颗粒物测定与气态污染物采样方法》和</w:t>
      </w:r>
      <w:r>
        <w:rPr>
          <w:rFonts w:eastAsia="仿宋" w:hint="eastAsia"/>
          <w:sz w:val="30"/>
          <w:szCs w:val="30"/>
        </w:rPr>
        <w:t xml:space="preserve"> HJ 397-2007</w:t>
      </w:r>
      <w:r>
        <w:rPr>
          <w:rFonts w:eastAsia="仿宋" w:hint="eastAsia"/>
          <w:sz w:val="30"/>
          <w:szCs w:val="30"/>
        </w:rPr>
        <w:t>《固定源废气监测技术规范》的相关规定，综合考虑动物无害化收集和处置设施的特点，规定了排气筒高度和采样口设置要求：</w:t>
      </w:r>
    </w:p>
    <w:p w14:paraId="21A487CA"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lastRenderedPageBreak/>
        <w:t>①排气筒高度要求</w:t>
      </w:r>
    </w:p>
    <w:p w14:paraId="3FFA1325"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一般恶臭（异味）污染源排气筒的排气筒高度，主要依据</w:t>
      </w:r>
      <w:r>
        <w:rPr>
          <w:rFonts w:eastAsia="仿宋" w:hint="eastAsia"/>
          <w:sz w:val="30"/>
          <w:szCs w:val="30"/>
        </w:rPr>
        <w:t>GB 14554</w:t>
      </w:r>
      <w:r>
        <w:rPr>
          <w:rFonts w:eastAsia="仿宋" w:hint="eastAsia"/>
          <w:sz w:val="30"/>
          <w:szCs w:val="30"/>
        </w:rPr>
        <w:t>、</w:t>
      </w:r>
      <w:r>
        <w:rPr>
          <w:rFonts w:eastAsia="仿宋" w:hint="eastAsia"/>
          <w:sz w:val="30"/>
          <w:szCs w:val="30"/>
        </w:rPr>
        <w:t>DB 31/1025-2016</w:t>
      </w:r>
      <w:r>
        <w:rPr>
          <w:rFonts w:eastAsia="仿宋" w:hint="eastAsia"/>
          <w:sz w:val="30"/>
          <w:szCs w:val="30"/>
        </w:rPr>
        <w:t>中“排气筒的最低高度不得低于</w:t>
      </w:r>
      <w:r>
        <w:rPr>
          <w:rFonts w:eastAsia="仿宋" w:hint="eastAsia"/>
          <w:sz w:val="30"/>
          <w:szCs w:val="30"/>
        </w:rPr>
        <w:t>15m</w:t>
      </w:r>
      <w:r>
        <w:rPr>
          <w:rFonts w:eastAsia="仿宋" w:hint="eastAsia"/>
          <w:sz w:val="30"/>
          <w:szCs w:val="30"/>
        </w:rPr>
        <w:t>”的规定；</w:t>
      </w:r>
    </w:p>
    <w:p w14:paraId="77BD4635"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焚烧过程容易产生二噁英等毒性较大的物质，故焚烧炉排气筒的高度不仅考虑恶臭（异味）污染物，参考《生活垃圾焚烧污染控制标准》（</w:t>
      </w:r>
      <w:r>
        <w:rPr>
          <w:rFonts w:eastAsia="仿宋" w:hint="eastAsia"/>
          <w:sz w:val="30"/>
          <w:szCs w:val="30"/>
        </w:rPr>
        <w:t>GB 18485-2014</w:t>
      </w:r>
      <w:r>
        <w:rPr>
          <w:rFonts w:eastAsia="仿宋" w:hint="eastAsia"/>
          <w:sz w:val="30"/>
          <w:szCs w:val="30"/>
        </w:rPr>
        <w:t>）中焚烧处理规模</w:t>
      </w:r>
      <w:r>
        <w:rPr>
          <w:rFonts w:eastAsia="仿宋" w:hint="eastAsia"/>
          <w:sz w:val="30"/>
          <w:szCs w:val="30"/>
        </w:rPr>
        <w:t>&lt;300</w:t>
      </w:r>
      <w:r>
        <w:rPr>
          <w:rFonts w:eastAsia="仿宋" w:hint="eastAsia"/>
          <w:sz w:val="30"/>
          <w:szCs w:val="30"/>
        </w:rPr>
        <w:t>吨</w:t>
      </w:r>
      <w:r>
        <w:rPr>
          <w:rFonts w:eastAsia="仿宋" w:hint="eastAsia"/>
          <w:sz w:val="30"/>
          <w:szCs w:val="30"/>
        </w:rPr>
        <w:t>/</w:t>
      </w:r>
      <w:r>
        <w:rPr>
          <w:rFonts w:eastAsia="仿宋" w:hint="eastAsia"/>
          <w:sz w:val="30"/>
          <w:szCs w:val="30"/>
        </w:rPr>
        <w:t>日的焚烧炉烟囱最低允许</w:t>
      </w:r>
      <w:r>
        <w:rPr>
          <w:rFonts w:eastAsia="仿宋" w:hint="eastAsia"/>
          <w:sz w:val="30"/>
          <w:szCs w:val="30"/>
        </w:rPr>
        <w:t>45</w:t>
      </w:r>
      <w:r>
        <w:rPr>
          <w:rFonts w:eastAsia="仿宋" w:hint="eastAsia"/>
          <w:sz w:val="30"/>
          <w:szCs w:val="30"/>
        </w:rPr>
        <w:t>米的要求；</w:t>
      </w:r>
    </w:p>
    <w:p w14:paraId="333B624E"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为避免排气筒周围高筑物阻挡恶臭（异味）污染物散逸，导致局部淤积，引用了《大气污染物综合排放标准》（</w:t>
      </w:r>
      <w:r>
        <w:rPr>
          <w:rFonts w:eastAsia="仿宋" w:hint="eastAsia"/>
          <w:sz w:val="30"/>
          <w:szCs w:val="30"/>
        </w:rPr>
        <w:t>GB 16297-1996</w:t>
      </w:r>
      <w:r>
        <w:rPr>
          <w:rFonts w:eastAsia="仿宋" w:hint="eastAsia"/>
          <w:sz w:val="30"/>
          <w:szCs w:val="30"/>
        </w:rPr>
        <w:t>）中排气筒周围</w:t>
      </w:r>
      <w:r>
        <w:rPr>
          <w:rFonts w:eastAsia="仿宋" w:hint="eastAsia"/>
          <w:sz w:val="30"/>
          <w:szCs w:val="30"/>
        </w:rPr>
        <w:t>200m</w:t>
      </w:r>
      <w:r>
        <w:rPr>
          <w:rFonts w:eastAsia="仿宋" w:hint="eastAsia"/>
          <w:sz w:val="30"/>
          <w:szCs w:val="30"/>
        </w:rPr>
        <w:t>半径内存在建筑时，排气筒高度应至少高出这一区域内最高建筑物</w:t>
      </w:r>
      <w:r>
        <w:rPr>
          <w:rFonts w:eastAsia="仿宋" w:hint="eastAsia"/>
          <w:sz w:val="30"/>
          <w:szCs w:val="30"/>
        </w:rPr>
        <w:t>5m</w:t>
      </w:r>
      <w:r>
        <w:rPr>
          <w:rFonts w:eastAsia="仿宋" w:hint="eastAsia"/>
          <w:sz w:val="30"/>
          <w:szCs w:val="30"/>
        </w:rPr>
        <w:t>以上的相关规定。</w:t>
      </w:r>
    </w:p>
    <w:p w14:paraId="08371857"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②采样口位置的要求</w:t>
      </w:r>
    </w:p>
    <w:p w14:paraId="44AD7874" w14:textId="59ACA4F9"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采样口应避开涡区，保证采集到的样品具有一定代表性，故对采样口与弯头和面急剧变化的部位的距离做了规定，该规定主要参考《固定污染源排气中颗粒物测定与气态污染物采样方法》（</w:t>
      </w:r>
      <w:r>
        <w:rPr>
          <w:rFonts w:eastAsia="仿宋" w:hint="eastAsia"/>
          <w:sz w:val="30"/>
          <w:szCs w:val="30"/>
        </w:rPr>
        <w:t>GB/T 16157-1996</w:t>
      </w:r>
      <w:r>
        <w:rPr>
          <w:rFonts w:eastAsia="仿宋" w:hint="eastAsia"/>
          <w:sz w:val="30"/>
          <w:szCs w:val="30"/>
        </w:rPr>
        <w:t>）以及《固定源废气监测技术规范》（</w:t>
      </w:r>
      <w:r>
        <w:rPr>
          <w:rFonts w:eastAsia="仿宋" w:hint="eastAsia"/>
          <w:sz w:val="30"/>
          <w:szCs w:val="30"/>
        </w:rPr>
        <w:t>HJ 397-2007</w:t>
      </w:r>
      <w:r>
        <w:rPr>
          <w:rFonts w:eastAsia="仿宋" w:hint="eastAsia"/>
          <w:sz w:val="30"/>
          <w:szCs w:val="30"/>
        </w:rPr>
        <w:t>）的相关规定；</w:t>
      </w:r>
    </w:p>
    <w:p w14:paraId="4DF2D27B"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采样断面的气流速度不宜过小，过小的气流速度不利于风量的监测，从而容易引起恶臭（异味）污染物排放速率的测量误差；</w:t>
      </w:r>
    </w:p>
    <w:p w14:paraId="77819870"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lastRenderedPageBreak/>
        <w:t>恶臭（异味）污染物多为气态污染物，在条件不允许的情况下，可适当放宽采样口位置的要求，但至少应有烟道直径的</w:t>
      </w:r>
      <w:r>
        <w:rPr>
          <w:rFonts w:eastAsia="仿宋" w:hint="eastAsia"/>
          <w:sz w:val="30"/>
          <w:szCs w:val="30"/>
        </w:rPr>
        <w:t>1.5</w:t>
      </w:r>
      <w:r>
        <w:rPr>
          <w:rFonts w:eastAsia="仿宋" w:hint="eastAsia"/>
          <w:sz w:val="30"/>
          <w:szCs w:val="30"/>
        </w:rPr>
        <w:t>倍的距离，且应特别注意避开涡流区，保证采集样品的代表性；</w:t>
      </w:r>
    </w:p>
    <w:p w14:paraId="41C20623"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由于排气筒高度和采样口的位置要求，为了使采样人员能够到达采样口位置，以及方便采样工作的开展，应设置采样平台，采样平台应有一定的面积，方便放置监测设备和保证采样人员的操作空间，故对采样平台的承重和与采样孔距离也做了一定规定。采样平台一般在高空位置，为保证采样人员的安全，采样平台应设置一定高度的护栏和脚部挡板。</w:t>
      </w:r>
    </w:p>
    <w:p w14:paraId="4B723386" w14:textId="77777777" w:rsidR="000E76B9" w:rsidRDefault="00A86600" w:rsidP="00850642">
      <w:pPr>
        <w:adjustRightInd w:val="0"/>
        <w:snapToGrid w:val="0"/>
        <w:spacing w:line="360" w:lineRule="auto"/>
        <w:ind w:firstLineChars="200" w:firstLine="643"/>
        <w:outlineLvl w:val="2"/>
        <w:rPr>
          <w:rFonts w:eastAsia="仿宋"/>
          <w:b/>
          <w:sz w:val="32"/>
          <w:szCs w:val="32"/>
        </w:rPr>
      </w:pPr>
      <w:r>
        <w:rPr>
          <w:rFonts w:eastAsia="仿宋" w:hint="eastAsia"/>
          <w:b/>
          <w:sz w:val="32"/>
          <w:szCs w:val="32"/>
        </w:rPr>
        <w:t>5</w:t>
      </w:r>
      <w:r>
        <w:rPr>
          <w:rFonts w:eastAsia="仿宋"/>
          <w:b/>
          <w:sz w:val="32"/>
          <w:szCs w:val="32"/>
        </w:rPr>
        <w:t>．</w:t>
      </w:r>
      <w:r>
        <w:rPr>
          <w:rFonts w:eastAsia="仿宋" w:hint="eastAsia"/>
          <w:b/>
          <w:sz w:val="32"/>
          <w:szCs w:val="32"/>
        </w:rPr>
        <w:t>恶臭（异味）污染物排放标准</w:t>
      </w:r>
    </w:p>
    <w:p w14:paraId="772F681A"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1</w:t>
      </w:r>
      <w:r>
        <w:rPr>
          <w:rFonts w:eastAsia="仿宋" w:hint="eastAsia"/>
          <w:b/>
          <w:sz w:val="30"/>
          <w:szCs w:val="30"/>
        </w:rPr>
        <w:t>）污染物项目的选择</w:t>
      </w:r>
    </w:p>
    <w:p w14:paraId="70B9B823"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①污染物项目确定原则</w:t>
      </w:r>
    </w:p>
    <w:p w14:paraId="1FD9F8F3"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a</w:t>
      </w:r>
      <w:r>
        <w:rPr>
          <w:rFonts w:eastAsia="仿宋" w:hint="eastAsia"/>
          <w:sz w:val="30"/>
          <w:szCs w:val="30"/>
        </w:rPr>
        <w:t>．动物无害化处理厂中具有较大的产生量（或排放量）并较为广泛地存在于大气环境；</w:t>
      </w:r>
    </w:p>
    <w:p w14:paraId="08303ADA"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b</w:t>
      </w:r>
      <w:r>
        <w:rPr>
          <w:rFonts w:eastAsia="仿宋" w:hint="eastAsia"/>
          <w:sz w:val="30"/>
          <w:szCs w:val="30"/>
        </w:rPr>
        <w:t>．嗅阈值低，即便产生量（或排放量）较少也容易被感知，进而引起居民生活不愉悦的物质。</w:t>
      </w:r>
    </w:p>
    <w:p w14:paraId="3D4E75FE"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②筛选方法</w:t>
      </w:r>
    </w:p>
    <w:p w14:paraId="06115EFA"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对</w:t>
      </w:r>
      <w:r>
        <w:rPr>
          <w:rFonts w:eastAsia="仿宋"/>
          <w:sz w:val="30"/>
          <w:szCs w:val="30"/>
        </w:rPr>
        <w:t>动物无害化处理厂恶臭</w:t>
      </w:r>
      <w:r>
        <w:rPr>
          <w:rFonts w:eastAsia="仿宋" w:hint="eastAsia"/>
          <w:sz w:val="30"/>
          <w:szCs w:val="30"/>
        </w:rPr>
        <w:t>（异味）</w:t>
      </w:r>
      <w:r>
        <w:rPr>
          <w:rFonts w:eastAsia="仿宋"/>
          <w:sz w:val="30"/>
          <w:szCs w:val="30"/>
        </w:rPr>
        <w:t>产生源</w:t>
      </w:r>
      <w:r>
        <w:rPr>
          <w:rFonts w:eastAsia="仿宋" w:hint="eastAsia"/>
          <w:sz w:val="30"/>
          <w:szCs w:val="30"/>
        </w:rPr>
        <w:t>开展监测，基于检出结果、恶臭（异味）物质特点以及监测分析方法等几方面筛选物质。其中，恶臭（异味）物质特点主要考虑嗅阈值的大小。</w:t>
      </w:r>
    </w:p>
    <w:p w14:paraId="63755E28"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③筛选项目结果</w:t>
      </w:r>
    </w:p>
    <w:p w14:paraId="28AA0D5C"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lastRenderedPageBreak/>
        <w:t>对上海市动物无害化处理中心奉贤区处理中心的恶臭（异味）散逸点（</w:t>
      </w:r>
      <w:r>
        <w:rPr>
          <w:rFonts w:eastAsia="仿宋" w:hint="eastAsia"/>
          <w:sz w:val="30"/>
          <w:szCs w:val="30"/>
        </w:rPr>
        <w:t>2</w:t>
      </w:r>
      <w:r>
        <w:rPr>
          <w:rFonts w:eastAsia="仿宋" w:hint="eastAsia"/>
          <w:sz w:val="30"/>
          <w:szCs w:val="30"/>
        </w:rPr>
        <w:t>个料仓、生产废水集水池、中间池）进行了监测，监测因子为《恶臭（异味）污染物排放标准》（</w:t>
      </w:r>
      <w:r>
        <w:rPr>
          <w:rFonts w:eastAsia="仿宋" w:hint="eastAsia"/>
          <w:sz w:val="30"/>
          <w:szCs w:val="30"/>
        </w:rPr>
        <w:t>DB31/1025-2016</w:t>
      </w:r>
      <w:r>
        <w:rPr>
          <w:rFonts w:eastAsia="仿宋" w:hint="eastAsia"/>
          <w:sz w:val="30"/>
          <w:szCs w:val="30"/>
        </w:rPr>
        <w:t>）中的</w:t>
      </w:r>
      <w:r>
        <w:rPr>
          <w:rFonts w:eastAsia="仿宋" w:hint="eastAsia"/>
          <w:sz w:val="30"/>
          <w:szCs w:val="30"/>
        </w:rPr>
        <w:t>22</w:t>
      </w:r>
      <w:r>
        <w:rPr>
          <w:rFonts w:eastAsia="仿宋" w:hint="eastAsia"/>
          <w:sz w:val="30"/>
          <w:szCs w:val="30"/>
        </w:rPr>
        <w:t>种特征污染物因子，包括：氨、硫化氢、一甲胺、二甲胺、三甲胺、乙酸乙酯、醛酮类化合物（丙醛、正丁醛、正戊醛）、丙烯酸和丙烯酸酯类（丙烯酸甲酯、丙烯酸乙酯）、挥发性有机物（甲硫醇、甲硫醚、二甲二硫、二硫化碳、苯乙烯、乙苯、甲基乙基酮、甲基异丁基酮、基丙烯酸甲酯、乙酸乙酯）。</w:t>
      </w:r>
    </w:p>
    <w:p w14:paraId="1ECF3A52" w14:textId="72F0F8DA"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根据监测结果所示，</w:t>
      </w:r>
      <w:r>
        <w:rPr>
          <w:rFonts w:eastAsia="仿宋"/>
          <w:sz w:val="30"/>
          <w:szCs w:val="30"/>
        </w:rPr>
        <w:t>焚烧车间料仓检出的恶臭</w:t>
      </w:r>
      <w:r>
        <w:rPr>
          <w:rFonts w:eastAsia="仿宋" w:hint="eastAsia"/>
          <w:sz w:val="30"/>
          <w:szCs w:val="30"/>
        </w:rPr>
        <w:t>（异味）</w:t>
      </w:r>
      <w:r>
        <w:rPr>
          <w:rFonts w:eastAsia="仿宋"/>
          <w:sz w:val="30"/>
          <w:szCs w:val="30"/>
        </w:rPr>
        <w:t>物质中，</w:t>
      </w:r>
      <w:r>
        <w:rPr>
          <w:rFonts w:eastAsia="仿宋" w:hint="eastAsia"/>
          <w:sz w:val="30"/>
          <w:szCs w:val="30"/>
        </w:rPr>
        <w:t>氨</w:t>
      </w:r>
      <w:r>
        <w:rPr>
          <w:rFonts w:eastAsia="仿宋"/>
          <w:sz w:val="30"/>
          <w:szCs w:val="30"/>
        </w:rPr>
        <w:t>浓度最大</w:t>
      </w:r>
      <w:r>
        <w:rPr>
          <w:rFonts w:eastAsia="仿宋"/>
          <w:sz w:val="30"/>
          <w:szCs w:val="30"/>
        </w:rPr>
        <w:t xml:space="preserve"> </w:t>
      </w:r>
      <w:r>
        <w:rPr>
          <w:rFonts w:eastAsia="仿宋"/>
          <w:sz w:val="30"/>
          <w:szCs w:val="30"/>
        </w:rPr>
        <w:t>（质量占检出物质的</w:t>
      </w:r>
      <w:r>
        <w:rPr>
          <w:rFonts w:eastAsia="仿宋"/>
          <w:sz w:val="30"/>
          <w:szCs w:val="30"/>
        </w:rPr>
        <w:t xml:space="preserve"> 63.</w:t>
      </w:r>
      <w:r>
        <w:rPr>
          <w:rFonts w:eastAsia="仿宋" w:hint="eastAsia"/>
          <w:sz w:val="30"/>
          <w:szCs w:val="30"/>
        </w:rPr>
        <w:t>07</w:t>
      </w:r>
      <w:r>
        <w:rPr>
          <w:rFonts w:eastAsia="仿宋"/>
          <w:sz w:val="30"/>
          <w:szCs w:val="30"/>
        </w:rPr>
        <w:t>%</w:t>
      </w:r>
      <w:r>
        <w:rPr>
          <w:rFonts w:eastAsia="仿宋"/>
          <w:sz w:val="30"/>
          <w:szCs w:val="30"/>
        </w:rPr>
        <w:t>），其次为二甲二硫</w:t>
      </w:r>
      <w:r>
        <w:rPr>
          <w:rFonts w:eastAsia="仿宋"/>
          <w:sz w:val="30"/>
          <w:szCs w:val="30"/>
        </w:rPr>
        <w:t xml:space="preserve"> </w:t>
      </w:r>
      <w:r>
        <w:rPr>
          <w:rFonts w:eastAsia="仿宋"/>
          <w:sz w:val="30"/>
          <w:szCs w:val="30"/>
        </w:rPr>
        <w:t>（</w:t>
      </w:r>
      <w:r>
        <w:rPr>
          <w:rFonts w:eastAsia="仿宋"/>
          <w:sz w:val="30"/>
          <w:szCs w:val="30"/>
        </w:rPr>
        <w:t>20.</w:t>
      </w:r>
      <w:r>
        <w:rPr>
          <w:rFonts w:eastAsia="仿宋" w:hint="eastAsia"/>
          <w:sz w:val="30"/>
          <w:szCs w:val="30"/>
        </w:rPr>
        <w:t>49</w:t>
      </w:r>
      <w:r>
        <w:rPr>
          <w:rFonts w:eastAsia="仿宋"/>
          <w:sz w:val="30"/>
          <w:szCs w:val="30"/>
        </w:rPr>
        <w:t>%</w:t>
      </w:r>
      <w:r>
        <w:rPr>
          <w:rFonts w:eastAsia="仿宋"/>
          <w:sz w:val="30"/>
          <w:szCs w:val="30"/>
        </w:rPr>
        <w:t>）、甲</w:t>
      </w:r>
      <w:r>
        <w:rPr>
          <w:rFonts w:eastAsia="仿宋"/>
          <w:sz w:val="30"/>
          <w:szCs w:val="30"/>
        </w:rPr>
        <w:t xml:space="preserve"> </w:t>
      </w:r>
      <w:r>
        <w:rPr>
          <w:rFonts w:eastAsia="仿宋"/>
          <w:sz w:val="30"/>
          <w:szCs w:val="30"/>
        </w:rPr>
        <w:t>硫</w:t>
      </w:r>
      <w:r>
        <w:rPr>
          <w:rFonts w:eastAsia="仿宋"/>
          <w:sz w:val="30"/>
          <w:szCs w:val="30"/>
        </w:rPr>
        <w:t xml:space="preserve"> </w:t>
      </w:r>
      <w:r>
        <w:rPr>
          <w:rFonts w:eastAsia="仿宋"/>
          <w:sz w:val="30"/>
          <w:szCs w:val="30"/>
        </w:rPr>
        <w:t>醇</w:t>
      </w:r>
      <w:r>
        <w:rPr>
          <w:rFonts w:eastAsia="仿宋"/>
          <w:sz w:val="30"/>
          <w:szCs w:val="30"/>
        </w:rPr>
        <w:t xml:space="preserve"> </w:t>
      </w:r>
      <w:r>
        <w:rPr>
          <w:rFonts w:eastAsia="仿宋"/>
          <w:sz w:val="30"/>
          <w:szCs w:val="30"/>
        </w:rPr>
        <w:t>（</w:t>
      </w:r>
      <w:r>
        <w:rPr>
          <w:rFonts w:eastAsia="仿宋"/>
          <w:sz w:val="30"/>
          <w:szCs w:val="30"/>
        </w:rPr>
        <w:t>8</w:t>
      </w:r>
      <w:r>
        <w:rPr>
          <w:rFonts w:eastAsia="仿宋" w:hint="eastAsia"/>
          <w:sz w:val="30"/>
          <w:szCs w:val="30"/>
        </w:rPr>
        <w:t>.69</w:t>
      </w:r>
      <w:r>
        <w:rPr>
          <w:rFonts w:eastAsia="仿宋"/>
          <w:sz w:val="30"/>
          <w:szCs w:val="30"/>
        </w:rPr>
        <w:t>%</w:t>
      </w:r>
      <w:r>
        <w:rPr>
          <w:rFonts w:eastAsia="仿宋"/>
          <w:sz w:val="30"/>
          <w:szCs w:val="30"/>
        </w:rPr>
        <w:t>）、甲基乙基酮（</w:t>
      </w:r>
      <w:r>
        <w:rPr>
          <w:rFonts w:eastAsia="仿宋"/>
          <w:sz w:val="30"/>
          <w:szCs w:val="30"/>
        </w:rPr>
        <w:t>4.1</w:t>
      </w:r>
      <w:r>
        <w:rPr>
          <w:rFonts w:eastAsia="仿宋" w:hint="eastAsia"/>
          <w:sz w:val="30"/>
          <w:szCs w:val="30"/>
        </w:rPr>
        <w:t>4</w:t>
      </w:r>
      <w:r>
        <w:rPr>
          <w:rFonts w:eastAsia="仿宋"/>
          <w:sz w:val="30"/>
          <w:szCs w:val="30"/>
        </w:rPr>
        <w:t>%</w:t>
      </w:r>
      <w:r>
        <w:rPr>
          <w:rFonts w:eastAsia="仿宋"/>
          <w:sz w:val="30"/>
          <w:szCs w:val="30"/>
        </w:rPr>
        <w:t>）、甲硫醚</w:t>
      </w:r>
      <w:r>
        <w:rPr>
          <w:rFonts w:eastAsia="仿宋"/>
          <w:sz w:val="30"/>
          <w:szCs w:val="30"/>
        </w:rPr>
        <w:t xml:space="preserve"> </w:t>
      </w:r>
      <w:r>
        <w:rPr>
          <w:rFonts w:eastAsia="仿宋"/>
          <w:sz w:val="30"/>
          <w:szCs w:val="30"/>
        </w:rPr>
        <w:t>（</w:t>
      </w:r>
      <w:r>
        <w:rPr>
          <w:rFonts w:eastAsia="仿宋"/>
          <w:sz w:val="30"/>
          <w:szCs w:val="30"/>
        </w:rPr>
        <w:t>2.2</w:t>
      </w:r>
      <w:r>
        <w:rPr>
          <w:rFonts w:eastAsia="仿宋" w:hint="eastAsia"/>
          <w:sz w:val="30"/>
          <w:szCs w:val="30"/>
        </w:rPr>
        <w:t>7</w:t>
      </w:r>
      <w:r>
        <w:rPr>
          <w:rFonts w:eastAsia="仿宋"/>
          <w:sz w:val="30"/>
          <w:szCs w:val="30"/>
        </w:rPr>
        <w:t>%</w:t>
      </w:r>
      <w:r>
        <w:rPr>
          <w:rFonts w:eastAsia="仿宋"/>
          <w:sz w:val="30"/>
          <w:szCs w:val="30"/>
        </w:rPr>
        <w:t>）</w:t>
      </w:r>
      <w:r>
        <w:rPr>
          <w:rFonts w:eastAsia="仿宋"/>
          <w:sz w:val="30"/>
          <w:szCs w:val="30"/>
        </w:rPr>
        <w:t xml:space="preserve"> </w:t>
      </w:r>
      <w:r>
        <w:rPr>
          <w:rFonts w:eastAsia="仿宋"/>
          <w:sz w:val="30"/>
          <w:szCs w:val="30"/>
        </w:rPr>
        <w:t>等。污水站恶臭</w:t>
      </w:r>
      <w:r>
        <w:rPr>
          <w:rFonts w:eastAsia="仿宋" w:hint="eastAsia"/>
          <w:sz w:val="30"/>
          <w:szCs w:val="30"/>
        </w:rPr>
        <w:t>（异味）</w:t>
      </w:r>
      <w:r>
        <w:rPr>
          <w:rFonts w:eastAsia="仿宋"/>
          <w:sz w:val="30"/>
          <w:szCs w:val="30"/>
        </w:rPr>
        <w:t>物质的产生情况与焚烧车间存在差异。其中，在生产废水集水池顶空同样检出了</w:t>
      </w:r>
      <w:r>
        <w:rPr>
          <w:rFonts w:eastAsia="仿宋" w:hint="eastAsia"/>
          <w:sz w:val="30"/>
          <w:szCs w:val="30"/>
        </w:rPr>
        <w:t>氨（</w:t>
      </w:r>
      <w:r>
        <w:rPr>
          <w:rFonts w:eastAsia="仿宋" w:hint="eastAsia"/>
          <w:sz w:val="30"/>
          <w:szCs w:val="30"/>
        </w:rPr>
        <w:t>47.31%</w:t>
      </w:r>
      <w:r>
        <w:rPr>
          <w:rFonts w:eastAsia="仿宋" w:hint="eastAsia"/>
          <w:sz w:val="30"/>
          <w:szCs w:val="30"/>
        </w:rPr>
        <w:t>）</w:t>
      </w:r>
      <w:r>
        <w:rPr>
          <w:rFonts w:eastAsia="仿宋"/>
          <w:sz w:val="30"/>
          <w:szCs w:val="30"/>
        </w:rPr>
        <w:t>、二甲二硫</w:t>
      </w:r>
      <w:r>
        <w:rPr>
          <w:rFonts w:eastAsia="仿宋" w:hint="eastAsia"/>
          <w:sz w:val="30"/>
          <w:szCs w:val="30"/>
        </w:rPr>
        <w:t>（</w:t>
      </w:r>
      <w:r>
        <w:rPr>
          <w:rFonts w:eastAsia="仿宋" w:hint="eastAsia"/>
          <w:sz w:val="30"/>
          <w:szCs w:val="30"/>
        </w:rPr>
        <w:t>15.46%</w:t>
      </w:r>
      <w:r>
        <w:rPr>
          <w:rFonts w:eastAsia="仿宋" w:hint="eastAsia"/>
          <w:sz w:val="30"/>
          <w:szCs w:val="30"/>
        </w:rPr>
        <w:t>）</w:t>
      </w:r>
      <w:r>
        <w:rPr>
          <w:rFonts w:eastAsia="仿宋"/>
          <w:sz w:val="30"/>
          <w:szCs w:val="30"/>
        </w:rPr>
        <w:t>、甲硫醇</w:t>
      </w:r>
      <w:r>
        <w:rPr>
          <w:rFonts w:eastAsia="仿宋" w:hint="eastAsia"/>
          <w:sz w:val="30"/>
          <w:szCs w:val="30"/>
        </w:rPr>
        <w:t>（</w:t>
      </w:r>
      <w:r>
        <w:rPr>
          <w:rFonts w:eastAsia="仿宋" w:hint="eastAsia"/>
          <w:sz w:val="30"/>
          <w:szCs w:val="30"/>
        </w:rPr>
        <w:t>6.79%</w:t>
      </w:r>
      <w:r>
        <w:rPr>
          <w:rFonts w:eastAsia="仿宋" w:hint="eastAsia"/>
          <w:sz w:val="30"/>
          <w:szCs w:val="30"/>
        </w:rPr>
        <w:t>）和甲硫醚（</w:t>
      </w:r>
      <w:r>
        <w:rPr>
          <w:rFonts w:eastAsia="仿宋" w:hint="eastAsia"/>
          <w:sz w:val="30"/>
          <w:szCs w:val="30"/>
        </w:rPr>
        <w:t>1.60%</w:t>
      </w:r>
      <w:r>
        <w:rPr>
          <w:rFonts w:eastAsia="仿宋" w:hint="eastAsia"/>
          <w:sz w:val="30"/>
          <w:szCs w:val="30"/>
        </w:rPr>
        <w:t>）。</w:t>
      </w:r>
      <w:r>
        <w:rPr>
          <w:rFonts w:eastAsia="仿宋"/>
          <w:sz w:val="30"/>
          <w:szCs w:val="30"/>
        </w:rPr>
        <w:t>值得关注的是</w:t>
      </w:r>
      <w:r>
        <w:rPr>
          <w:rFonts w:eastAsia="仿宋" w:hint="eastAsia"/>
          <w:sz w:val="30"/>
          <w:szCs w:val="30"/>
        </w:rPr>
        <w:t>，生产废水集水池、中间池均检出较高浓度的硫化氢，其在</w:t>
      </w:r>
      <w:r>
        <w:rPr>
          <w:rFonts w:eastAsia="仿宋"/>
          <w:sz w:val="30"/>
          <w:szCs w:val="30"/>
        </w:rPr>
        <w:t>检出物中的浓度占比</w:t>
      </w:r>
      <w:r>
        <w:rPr>
          <w:rFonts w:eastAsia="仿宋" w:hint="eastAsia"/>
          <w:sz w:val="30"/>
          <w:szCs w:val="30"/>
        </w:rPr>
        <w:t>分别</w:t>
      </w:r>
      <w:r>
        <w:rPr>
          <w:rFonts w:eastAsia="仿宋"/>
          <w:sz w:val="30"/>
          <w:szCs w:val="30"/>
        </w:rPr>
        <w:t>达到了</w:t>
      </w:r>
      <w:r>
        <w:rPr>
          <w:rFonts w:eastAsia="仿宋"/>
          <w:sz w:val="30"/>
          <w:szCs w:val="30"/>
        </w:rPr>
        <w:t xml:space="preserve"> </w:t>
      </w:r>
      <w:r>
        <w:rPr>
          <w:rFonts w:eastAsia="仿宋" w:hint="eastAsia"/>
          <w:sz w:val="30"/>
          <w:szCs w:val="30"/>
        </w:rPr>
        <w:t>23.55%</w:t>
      </w:r>
      <w:r>
        <w:rPr>
          <w:rFonts w:eastAsia="仿宋" w:hint="eastAsia"/>
          <w:sz w:val="30"/>
          <w:szCs w:val="30"/>
        </w:rPr>
        <w:t>和</w:t>
      </w:r>
      <w:r>
        <w:rPr>
          <w:rFonts w:eastAsia="仿宋" w:hint="eastAsia"/>
          <w:sz w:val="30"/>
          <w:szCs w:val="30"/>
        </w:rPr>
        <w:t>80.91</w:t>
      </w:r>
      <w:r>
        <w:rPr>
          <w:rFonts w:eastAsia="仿宋"/>
          <w:sz w:val="30"/>
          <w:szCs w:val="30"/>
        </w:rPr>
        <w:t>%</w:t>
      </w:r>
      <w:r>
        <w:rPr>
          <w:rFonts w:eastAsia="仿宋"/>
          <w:sz w:val="30"/>
          <w:szCs w:val="30"/>
        </w:rPr>
        <w:t>。</w:t>
      </w:r>
      <w:r>
        <w:rPr>
          <w:rFonts w:eastAsia="仿宋" w:hint="eastAsia"/>
          <w:sz w:val="30"/>
          <w:szCs w:val="30"/>
        </w:rPr>
        <w:t>此外，在上述监测的</w:t>
      </w:r>
      <w:r>
        <w:rPr>
          <w:rFonts w:eastAsia="仿宋"/>
          <w:sz w:val="30"/>
          <w:szCs w:val="30"/>
        </w:rPr>
        <w:t>22</w:t>
      </w:r>
      <w:r>
        <w:rPr>
          <w:rFonts w:eastAsia="仿宋"/>
          <w:sz w:val="30"/>
          <w:szCs w:val="30"/>
        </w:rPr>
        <w:t>种有明确嗅阈值标准的典型恶臭</w:t>
      </w:r>
      <w:r>
        <w:rPr>
          <w:rFonts w:eastAsia="仿宋" w:hint="eastAsia"/>
          <w:sz w:val="30"/>
          <w:szCs w:val="30"/>
        </w:rPr>
        <w:t>（异味）</w:t>
      </w:r>
      <w:r>
        <w:rPr>
          <w:rFonts w:eastAsia="仿宋"/>
          <w:sz w:val="30"/>
          <w:szCs w:val="30"/>
        </w:rPr>
        <w:t>物质</w:t>
      </w:r>
      <w:r>
        <w:rPr>
          <w:rFonts w:eastAsia="仿宋" w:hint="eastAsia"/>
          <w:sz w:val="30"/>
          <w:szCs w:val="30"/>
        </w:rPr>
        <w:t>中，三甲胺的嗅阈值极低，仅为</w:t>
      </w:r>
      <w:r>
        <w:rPr>
          <w:rFonts w:eastAsia="仿宋"/>
          <w:sz w:val="30"/>
          <w:szCs w:val="30"/>
        </w:rPr>
        <w:t>8.44E-05</w:t>
      </w:r>
      <w:r>
        <w:t xml:space="preserve"> </w:t>
      </w:r>
      <w:r>
        <w:rPr>
          <w:rFonts w:eastAsia="仿宋"/>
          <w:sz w:val="30"/>
          <w:szCs w:val="30"/>
        </w:rPr>
        <w:t>mg/m</w:t>
      </w:r>
      <w:r>
        <w:rPr>
          <w:rFonts w:eastAsia="仿宋"/>
          <w:sz w:val="30"/>
          <w:szCs w:val="30"/>
          <w:vertAlign w:val="superscript"/>
        </w:rPr>
        <w:t>3</w:t>
      </w:r>
      <w:r>
        <w:rPr>
          <w:rFonts w:eastAsia="仿宋" w:hint="eastAsia"/>
          <w:sz w:val="30"/>
          <w:szCs w:val="30"/>
        </w:rPr>
        <w:t>，因此也将其列入控制指标。</w:t>
      </w:r>
    </w:p>
    <w:p w14:paraId="0EFD229A"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结合监测数据和嗅觉阈值，最终筛选出氨、硫化氢、甲硫醇、甲硫醚、二甲二硫、三甲胺六项因子作为动物无害化处理恶臭（异味）污染特征污染物，臭气浓度为综合因子</w:t>
      </w:r>
      <w:r>
        <w:rPr>
          <w:rFonts w:eastAsia="仿宋"/>
          <w:sz w:val="30"/>
          <w:szCs w:val="30"/>
        </w:rPr>
        <w:t>。</w:t>
      </w:r>
    </w:p>
    <w:p w14:paraId="20251403" w14:textId="2187C87F" w:rsidR="000E76B9" w:rsidRDefault="0094094A" w:rsidP="00954ECC">
      <w:pPr>
        <w:widowControl/>
        <w:jc w:val="center"/>
        <w:rPr>
          <w:rFonts w:eastAsia="仿宋"/>
          <w:b/>
          <w:bCs/>
          <w:sz w:val="28"/>
          <w:szCs w:val="28"/>
        </w:rPr>
      </w:pPr>
      <w:r>
        <w:rPr>
          <w:rFonts w:eastAsia="仿宋"/>
          <w:b/>
          <w:bCs/>
          <w:sz w:val="28"/>
          <w:szCs w:val="28"/>
        </w:rPr>
        <w:br w:type="page"/>
      </w:r>
      <w:r w:rsidR="00A86600">
        <w:rPr>
          <w:rFonts w:eastAsia="仿宋"/>
          <w:b/>
          <w:bCs/>
          <w:sz w:val="28"/>
          <w:szCs w:val="28"/>
        </w:rPr>
        <w:lastRenderedPageBreak/>
        <w:t>表</w:t>
      </w:r>
      <w:r w:rsidR="00A86600">
        <w:rPr>
          <w:rFonts w:eastAsia="仿宋" w:hint="eastAsia"/>
          <w:b/>
          <w:bCs/>
          <w:sz w:val="28"/>
          <w:szCs w:val="28"/>
        </w:rPr>
        <w:t>5</w:t>
      </w:r>
      <w:r w:rsidR="00A86600">
        <w:rPr>
          <w:rFonts w:eastAsia="仿宋"/>
          <w:b/>
          <w:bCs/>
          <w:sz w:val="28"/>
          <w:szCs w:val="28"/>
        </w:rPr>
        <w:t>-</w:t>
      </w:r>
      <w:r w:rsidR="00A86600">
        <w:rPr>
          <w:rFonts w:eastAsia="仿宋" w:hint="eastAsia"/>
          <w:b/>
          <w:bCs/>
          <w:sz w:val="28"/>
          <w:szCs w:val="28"/>
        </w:rPr>
        <w:t>2</w:t>
      </w:r>
      <w:r w:rsidR="00A86600">
        <w:rPr>
          <w:rFonts w:eastAsia="仿宋" w:hint="eastAsia"/>
          <w:b/>
          <w:bCs/>
          <w:sz w:val="28"/>
          <w:szCs w:val="28"/>
        </w:rPr>
        <w:t>恶臭（异味）物质监测结果（单位</w:t>
      </w:r>
      <w:r w:rsidR="00A86600">
        <w:rPr>
          <w:rFonts w:eastAsia="仿宋"/>
          <w:b/>
          <w:bCs/>
          <w:sz w:val="28"/>
          <w:szCs w:val="28"/>
        </w:rPr>
        <w:t>mg/m</w:t>
      </w:r>
      <w:r w:rsidR="00A86600">
        <w:rPr>
          <w:rFonts w:eastAsia="仿宋"/>
          <w:b/>
          <w:bCs/>
          <w:sz w:val="28"/>
          <w:szCs w:val="28"/>
          <w:vertAlign w:val="superscript"/>
        </w:rPr>
        <w:t>3</w:t>
      </w:r>
      <w:r w:rsidR="00A86600">
        <w:rPr>
          <w:rFonts w:eastAsia="仿宋" w:hint="eastAsia"/>
          <w:b/>
          <w:bCs/>
          <w:sz w:val="28"/>
          <w:szCs w:val="28"/>
        </w:rPr>
        <w:t>）</w:t>
      </w:r>
    </w:p>
    <w:tbl>
      <w:tblPr>
        <w:tblW w:w="5179" w:type="pct"/>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77"/>
        <w:gridCol w:w="1420"/>
        <w:gridCol w:w="1422"/>
        <w:gridCol w:w="1422"/>
        <w:gridCol w:w="1425"/>
      </w:tblGrid>
      <w:tr w:rsidR="000E76B9" w14:paraId="302074E5" w14:textId="77777777">
        <w:trPr>
          <w:trHeight w:val="454"/>
          <w:tblHeader/>
        </w:trPr>
        <w:tc>
          <w:tcPr>
            <w:tcW w:w="827" w:type="pct"/>
            <w:vMerge w:val="restart"/>
            <w:vAlign w:val="center"/>
          </w:tcPr>
          <w:p w14:paraId="497D750E" w14:textId="77777777" w:rsidR="000E76B9" w:rsidRDefault="00A86600">
            <w:pPr>
              <w:snapToGrid w:val="0"/>
              <w:spacing w:line="260" w:lineRule="exact"/>
              <w:jc w:val="center"/>
              <w:rPr>
                <w:rFonts w:eastAsia="仿宋"/>
                <w:sz w:val="24"/>
                <w:szCs w:val="24"/>
              </w:rPr>
            </w:pPr>
            <w:r>
              <w:rPr>
                <w:rFonts w:eastAsia="仿宋" w:hint="eastAsia"/>
                <w:sz w:val="24"/>
                <w:szCs w:val="24"/>
              </w:rPr>
              <w:t>监测因子</w:t>
            </w:r>
          </w:p>
        </w:tc>
        <w:tc>
          <w:tcPr>
            <w:tcW w:w="860" w:type="pct"/>
            <w:vMerge w:val="restart"/>
            <w:vAlign w:val="center"/>
          </w:tcPr>
          <w:p w14:paraId="6D007C3D" w14:textId="77777777" w:rsidR="000E76B9" w:rsidRDefault="00A86600">
            <w:pPr>
              <w:snapToGrid w:val="0"/>
              <w:spacing w:line="260" w:lineRule="exact"/>
              <w:jc w:val="center"/>
              <w:rPr>
                <w:rFonts w:eastAsia="仿宋"/>
                <w:sz w:val="24"/>
                <w:szCs w:val="24"/>
              </w:rPr>
            </w:pPr>
            <w:r>
              <w:rPr>
                <w:rFonts w:eastAsia="仿宋" w:hint="eastAsia"/>
                <w:sz w:val="24"/>
                <w:szCs w:val="24"/>
              </w:rPr>
              <w:t>嗅阈值</w:t>
            </w:r>
          </w:p>
        </w:tc>
        <w:tc>
          <w:tcPr>
            <w:tcW w:w="3313" w:type="pct"/>
            <w:gridSpan w:val="4"/>
            <w:vAlign w:val="center"/>
          </w:tcPr>
          <w:p w14:paraId="46AB2E6A" w14:textId="77777777" w:rsidR="000E76B9" w:rsidRDefault="00A86600">
            <w:pPr>
              <w:snapToGrid w:val="0"/>
              <w:spacing w:line="260" w:lineRule="exact"/>
              <w:jc w:val="center"/>
              <w:rPr>
                <w:rFonts w:eastAsia="仿宋"/>
                <w:sz w:val="24"/>
                <w:szCs w:val="24"/>
              </w:rPr>
            </w:pPr>
            <w:r>
              <w:rPr>
                <w:rFonts w:eastAsia="仿宋" w:hint="eastAsia"/>
                <w:sz w:val="24"/>
                <w:szCs w:val="24"/>
              </w:rPr>
              <w:t>检测浓度</w:t>
            </w:r>
          </w:p>
        </w:tc>
      </w:tr>
      <w:tr w:rsidR="000E76B9" w14:paraId="2E72104B" w14:textId="77777777">
        <w:trPr>
          <w:trHeight w:val="454"/>
          <w:tblHeader/>
        </w:trPr>
        <w:tc>
          <w:tcPr>
            <w:tcW w:w="827" w:type="pct"/>
            <w:vMerge/>
            <w:vAlign w:val="center"/>
          </w:tcPr>
          <w:p w14:paraId="68314D9B" w14:textId="77777777" w:rsidR="000E76B9" w:rsidRDefault="000E76B9">
            <w:pPr>
              <w:snapToGrid w:val="0"/>
              <w:spacing w:line="260" w:lineRule="exact"/>
              <w:jc w:val="center"/>
              <w:rPr>
                <w:rFonts w:eastAsia="仿宋"/>
                <w:sz w:val="24"/>
                <w:szCs w:val="24"/>
              </w:rPr>
            </w:pPr>
          </w:p>
        </w:tc>
        <w:tc>
          <w:tcPr>
            <w:tcW w:w="860" w:type="pct"/>
            <w:vMerge/>
            <w:vAlign w:val="center"/>
          </w:tcPr>
          <w:p w14:paraId="467B1A09" w14:textId="77777777" w:rsidR="000E76B9" w:rsidRDefault="000E76B9">
            <w:pPr>
              <w:snapToGrid w:val="0"/>
              <w:spacing w:line="260" w:lineRule="exact"/>
              <w:jc w:val="center"/>
              <w:rPr>
                <w:rFonts w:eastAsia="仿宋"/>
                <w:sz w:val="24"/>
                <w:szCs w:val="24"/>
              </w:rPr>
            </w:pPr>
          </w:p>
        </w:tc>
        <w:tc>
          <w:tcPr>
            <w:tcW w:w="1655" w:type="pct"/>
            <w:gridSpan w:val="2"/>
            <w:vAlign w:val="center"/>
          </w:tcPr>
          <w:p w14:paraId="7BA2A63B" w14:textId="77777777" w:rsidR="000E76B9" w:rsidRDefault="00A86600">
            <w:pPr>
              <w:snapToGrid w:val="0"/>
              <w:spacing w:line="260" w:lineRule="exact"/>
              <w:jc w:val="center"/>
              <w:rPr>
                <w:rFonts w:eastAsia="仿宋"/>
                <w:sz w:val="24"/>
                <w:szCs w:val="24"/>
              </w:rPr>
            </w:pPr>
            <w:r>
              <w:rPr>
                <w:rFonts w:eastAsia="仿宋" w:hint="eastAsia"/>
                <w:sz w:val="24"/>
                <w:szCs w:val="24"/>
              </w:rPr>
              <w:t>焚烧车间</w:t>
            </w:r>
          </w:p>
        </w:tc>
        <w:tc>
          <w:tcPr>
            <w:tcW w:w="1658" w:type="pct"/>
            <w:gridSpan w:val="2"/>
            <w:vAlign w:val="center"/>
          </w:tcPr>
          <w:p w14:paraId="29D012E8" w14:textId="77777777" w:rsidR="000E76B9" w:rsidRDefault="00A86600">
            <w:pPr>
              <w:snapToGrid w:val="0"/>
              <w:spacing w:line="260" w:lineRule="exact"/>
              <w:jc w:val="center"/>
              <w:rPr>
                <w:rFonts w:eastAsia="仿宋"/>
                <w:sz w:val="24"/>
                <w:szCs w:val="24"/>
              </w:rPr>
            </w:pPr>
            <w:r>
              <w:rPr>
                <w:rFonts w:eastAsia="仿宋" w:hint="eastAsia"/>
                <w:sz w:val="24"/>
                <w:szCs w:val="24"/>
              </w:rPr>
              <w:t>污水站</w:t>
            </w:r>
          </w:p>
        </w:tc>
      </w:tr>
      <w:tr w:rsidR="000E76B9" w14:paraId="2CB63B67" w14:textId="77777777">
        <w:trPr>
          <w:trHeight w:val="454"/>
          <w:tblHeader/>
        </w:trPr>
        <w:tc>
          <w:tcPr>
            <w:tcW w:w="827" w:type="pct"/>
            <w:vMerge/>
            <w:vAlign w:val="center"/>
          </w:tcPr>
          <w:p w14:paraId="68E7E80F" w14:textId="77777777" w:rsidR="000E76B9" w:rsidRDefault="000E76B9">
            <w:pPr>
              <w:snapToGrid w:val="0"/>
              <w:spacing w:line="260" w:lineRule="exact"/>
              <w:jc w:val="center"/>
              <w:rPr>
                <w:rFonts w:eastAsia="仿宋"/>
                <w:sz w:val="24"/>
                <w:szCs w:val="24"/>
              </w:rPr>
            </w:pPr>
          </w:p>
        </w:tc>
        <w:tc>
          <w:tcPr>
            <w:tcW w:w="860" w:type="pct"/>
            <w:vMerge/>
            <w:vAlign w:val="center"/>
          </w:tcPr>
          <w:p w14:paraId="23BE66FC" w14:textId="77777777" w:rsidR="000E76B9" w:rsidRDefault="000E76B9">
            <w:pPr>
              <w:snapToGrid w:val="0"/>
              <w:spacing w:line="260" w:lineRule="exact"/>
              <w:jc w:val="center"/>
              <w:rPr>
                <w:rFonts w:eastAsia="仿宋"/>
                <w:sz w:val="24"/>
                <w:szCs w:val="24"/>
              </w:rPr>
            </w:pPr>
          </w:p>
        </w:tc>
        <w:tc>
          <w:tcPr>
            <w:tcW w:w="827" w:type="pct"/>
            <w:vAlign w:val="center"/>
          </w:tcPr>
          <w:p w14:paraId="5A819BB9" w14:textId="77777777" w:rsidR="000E76B9" w:rsidRDefault="00A86600">
            <w:pPr>
              <w:snapToGrid w:val="0"/>
              <w:spacing w:line="260" w:lineRule="exact"/>
              <w:jc w:val="center"/>
              <w:rPr>
                <w:rFonts w:eastAsia="仿宋"/>
                <w:sz w:val="24"/>
                <w:szCs w:val="24"/>
              </w:rPr>
            </w:pPr>
            <w:r>
              <w:rPr>
                <w:rFonts w:eastAsia="仿宋" w:hint="eastAsia"/>
                <w:sz w:val="24"/>
                <w:szCs w:val="24"/>
              </w:rPr>
              <w:t>料仓</w:t>
            </w:r>
            <w:r>
              <w:rPr>
                <w:rFonts w:eastAsia="仿宋" w:hint="eastAsia"/>
                <w:sz w:val="24"/>
                <w:szCs w:val="24"/>
              </w:rPr>
              <w:t>1#</w:t>
            </w:r>
          </w:p>
        </w:tc>
        <w:tc>
          <w:tcPr>
            <w:tcW w:w="828" w:type="pct"/>
            <w:vAlign w:val="center"/>
          </w:tcPr>
          <w:p w14:paraId="394001AB" w14:textId="77777777" w:rsidR="000E76B9" w:rsidRDefault="00A86600">
            <w:pPr>
              <w:snapToGrid w:val="0"/>
              <w:spacing w:line="260" w:lineRule="exact"/>
              <w:jc w:val="center"/>
              <w:rPr>
                <w:rFonts w:eastAsia="仿宋"/>
                <w:sz w:val="24"/>
                <w:szCs w:val="24"/>
              </w:rPr>
            </w:pPr>
            <w:r>
              <w:rPr>
                <w:rFonts w:eastAsia="仿宋" w:hint="eastAsia"/>
                <w:sz w:val="24"/>
                <w:szCs w:val="24"/>
              </w:rPr>
              <w:t>料仓</w:t>
            </w:r>
            <w:r>
              <w:rPr>
                <w:rFonts w:eastAsia="仿宋" w:hint="eastAsia"/>
                <w:sz w:val="24"/>
                <w:szCs w:val="24"/>
              </w:rPr>
              <w:t>2#</w:t>
            </w:r>
          </w:p>
        </w:tc>
        <w:tc>
          <w:tcPr>
            <w:tcW w:w="828" w:type="pct"/>
            <w:vAlign w:val="center"/>
          </w:tcPr>
          <w:p w14:paraId="678CC174" w14:textId="77777777" w:rsidR="000E76B9" w:rsidRDefault="00A86600">
            <w:pPr>
              <w:snapToGrid w:val="0"/>
              <w:spacing w:line="260" w:lineRule="exact"/>
              <w:jc w:val="center"/>
              <w:rPr>
                <w:rFonts w:eastAsia="仿宋"/>
                <w:sz w:val="24"/>
                <w:szCs w:val="24"/>
              </w:rPr>
            </w:pPr>
            <w:r>
              <w:rPr>
                <w:rFonts w:eastAsia="仿宋" w:hint="eastAsia"/>
                <w:sz w:val="24"/>
                <w:szCs w:val="24"/>
              </w:rPr>
              <w:t>集水池</w:t>
            </w:r>
          </w:p>
        </w:tc>
        <w:tc>
          <w:tcPr>
            <w:tcW w:w="830" w:type="pct"/>
            <w:vAlign w:val="center"/>
          </w:tcPr>
          <w:p w14:paraId="1DE67228" w14:textId="77777777" w:rsidR="000E76B9" w:rsidRDefault="00A86600">
            <w:pPr>
              <w:snapToGrid w:val="0"/>
              <w:spacing w:line="260" w:lineRule="exact"/>
              <w:jc w:val="center"/>
              <w:rPr>
                <w:rFonts w:eastAsia="仿宋"/>
                <w:sz w:val="24"/>
                <w:szCs w:val="24"/>
              </w:rPr>
            </w:pPr>
            <w:r>
              <w:rPr>
                <w:rFonts w:eastAsia="仿宋" w:hint="eastAsia"/>
                <w:sz w:val="24"/>
                <w:szCs w:val="24"/>
              </w:rPr>
              <w:t>中间池</w:t>
            </w:r>
          </w:p>
        </w:tc>
      </w:tr>
      <w:tr w:rsidR="000E76B9" w14:paraId="652FFE38" w14:textId="77777777">
        <w:trPr>
          <w:trHeight w:val="454"/>
          <w:tblHeader/>
        </w:trPr>
        <w:tc>
          <w:tcPr>
            <w:tcW w:w="827" w:type="pct"/>
            <w:vAlign w:val="center"/>
          </w:tcPr>
          <w:p w14:paraId="6611B435" w14:textId="77777777" w:rsidR="000E76B9" w:rsidRDefault="00A86600">
            <w:pPr>
              <w:snapToGrid w:val="0"/>
              <w:spacing w:line="260" w:lineRule="exact"/>
              <w:jc w:val="center"/>
              <w:rPr>
                <w:rFonts w:eastAsia="仿宋"/>
                <w:sz w:val="24"/>
                <w:szCs w:val="24"/>
              </w:rPr>
            </w:pPr>
            <w:r>
              <w:rPr>
                <w:rFonts w:eastAsia="仿宋" w:hint="eastAsia"/>
                <w:sz w:val="24"/>
                <w:szCs w:val="24"/>
              </w:rPr>
              <w:t>氨</w:t>
            </w:r>
          </w:p>
        </w:tc>
        <w:tc>
          <w:tcPr>
            <w:tcW w:w="860" w:type="pct"/>
            <w:vAlign w:val="center"/>
          </w:tcPr>
          <w:p w14:paraId="503B54A2" w14:textId="77777777" w:rsidR="000E76B9" w:rsidRDefault="00A86600">
            <w:pPr>
              <w:snapToGrid w:val="0"/>
              <w:spacing w:line="260" w:lineRule="exact"/>
              <w:jc w:val="center"/>
              <w:rPr>
                <w:rFonts w:eastAsia="仿宋"/>
                <w:sz w:val="24"/>
                <w:szCs w:val="24"/>
              </w:rPr>
            </w:pPr>
            <w:r>
              <w:rPr>
                <w:rFonts w:eastAsia="仿宋" w:hint="eastAsia"/>
                <w:sz w:val="24"/>
                <w:szCs w:val="24"/>
              </w:rPr>
              <w:t>0.032693438</w:t>
            </w:r>
          </w:p>
        </w:tc>
        <w:tc>
          <w:tcPr>
            <w:tcW w:w="827" w:type="pct"/>
            <w:vAlign w:val="center"/>
          </w:tcPr>
          <w:p w14:paraId="0F2A9C9A" w14:textId="77777777" w:rsidR="000E76B9" w:rsidRDefault="00A86600">
            <w:pPr>
              <w:snapToGrid w:val="0"/>
              <w:spacing w:line="260" w:lineRule="exact"/>
              <w:jc w:val="center"/>
              <w:rPr>
                <w:rFonts w:eastAsia="仿宋"/>
                <w:sz w:val="24"/>
                <w:szCs w:val="24"/>
              </w:rPr>
            </w:pPr>
            <w:r>
              <w:rPr>
                <w:rFonts w:eastAsia="仿宋" w:hint="eastAsia"/>
                <w:sz w:val="24"/>
                <w:szCs w:val="24"/>
              </w:rPr>
              <w:t>2.462</w:t>
            </w:r>
          </w:p>
        </w:tc>
        <w:tc>
          <w:tcPr>
            <w:tcW w:w="828" w:type="pct"/>
            <w:vAlign w:val="center"/>
          </w:tcPr>
          <w:p w14:paraId="70C679F0" w14:textId="77777777" w:rsidR="000E76B9" w:rsidRDefault="00A86600">
            <w:pPr>
              <w:snapToGrid w:val="0"/>
              <w:spacing w:line="260" w:lineRule="exact"/>
              <w:jc w:val="center"/>
              <w:rPr>
                <w:rFonts w:eastAsia="仿宋"/>
                <w:sz w:val="24"/>
                <w:szCs w:val="24"/>
              </w:rPr>
            </w:pPr>
            <w:r>
              <w:rPr>
                <w:rFonts w:eastAsia="仿宋" w:hint="eastAsia"/>
                <w:sz w:val="24"/>
                <w:szCs w:val="24"/>
              </w:rPr>
              <w:t>0.803</w:t>
            </w:r>
          </w:p>
        </w:tc>
        <w:tc>
          <w:tcPr>
            <w:tcW w:w="828" w:type="pct"/>
            <w:vAlign w:val="center"/>
          </w:tcPr>
          <w:p w14:paraId="0940DCA9" w14:textId="77777777" w:rsidR="000E76B9" w:rsidRDefault="00A86600">
            <w:pPr>
              <w:snapToGrid w:val="0"/>
              <w:spacing w:line="260" w:lineRule="exact"/>
              <w:jc w:val="center"/>
              <w:rPr>
                <w:rFonts w:eastAsia="仿宋"/>
                <w:sz w:val="24"/>
                <w:szCs w:val="24"/>
              </w:rPr>
            </w:pPr>
            <w:r>
              <w:rPr>
                <w:rFonts w:eastAsia="仿宋" w:hint="eastAsia"/>
                <w:sz w:val="24"/>
                <w:szCs w:val="24"/>
              </w:rPr>
              <w:t>0.225</w:t>
            </w:r>
          </w:p>
        </w:tc>
        <w:tc>
          <w:tcPr>
            <w:tcW w:w="830" w:type="pct"/>
            <w:vAlign w:val="center"/>
          </w:tcPr>
          <w:p w14:paraId="185DE53C" w14:textId="77777777" w:rsidR="000E76B9" w:rsidRDefault="00A86600">
            <w:pPr>
              <w:snapToGrid w:val="0"/>
              <w:spacing w:line="260" w:lineRule="exact"/>
              <w:jc w:val="center"/>
              <w:rPr>
                <w:rFonts w:eastAsia="仿宋"/>
                <w:sz w:val="24"/>
                <w:szCs w:val="24"/>
              </w:rPr>
            </w:pPr>
            <w:r>
              <w:rPr>
                <w:rFonts w:eastAsia="仿宋" w:hint="eastAsia"/>
                <w:sz w:val="24"/>
                <w:szCs w:val="24"/>
              </w:rPr>
              <w:t>0.176</w:t>
            </w:r>
          </w:p>
        </w:tc>
      </w:tr>
      <w:tr w:rsidR="000E76B9" w14:paraId="35164A68" w14:textId="77777777">
        <w:trPr>
          <w:trHeight w:val="454"/>
          <w:tblHeader/>
        </w:trPr>
        <w:tc>
          <w:tcPr>
            <w:tcW w:w="827" w:type="pct"/>
            <w:vAlign w:val="center"/>
          </w:tcPr>
          <w:p w14:paraId="7D3898DC" w14:textId="77777777" w:rsidR="000E76B9" w:rsidRDefault="00A86600">
            <w:pPr>
              <w:snapToGrid w:val="0"/>
              <w:spacing w:line="260" w:lineRule="exact"/>
              <w:jc w:val="center"/>
              <w:rPr>
                <w:rFonts w:eastAsia="仿宋"/>
                <w:sz w:val="24"/>
                <w:szCs w:val="24"/>
              </w:rPr>
            </w:pPr>
            <w:r>
              <w:rPr>
                <w:rFonts w:eastAsia="仿宋" w:hint="eastAsia"/>
                <w:sz w:val="24"/>
                <w:szCs w:val="24"/>
              </w:rPr>
              <w:t>硫化氢</w:t>
            </w:r>
          </w:p>
        </w:tc>
        <w:tc>
          <w:tcPr>
            <w:tcW w:w="860" w:type="pct"/>
            <w:vAlign w:val="center"/>
          </w:tcPr>
          <w:p w14:paraId="7F4D2D0C" w14:textId="77777777" w:rsidR="000E76B9" w:rsidRDefault="00A86600">
            <w:pPr>
              <w:snapToGrid w:val="0"/>
              <w:spacing w:line="260" w:lineRule="exact"/>
              <w:jc w:val="center"/>
              <w:rPr>
                <w:rFonts w:eastAsia="仿宋"/>
                <w:sz w:val="24"/>
                <w:szCs w:val="24"/>
              </w:rPr>
            </w:pPr>
            <w:r>
              <w:rPr>
                <w:rFonts w:eastAsia="仿宋" w:hint="eastAsia"/>
                <w:sz w:val="24"/>
                <w:szCs w:val="24"/>
              </w:rPr>
              <w:t>0.000623786</w:t>
            </w:r>
          </w:p>
        </w:tc>
        <w:tc>
          <w:tcPr>
            <w:tcW w:w="827" w:type="pct"/>
            <w:vAlign w:val="center"/>
          </w:tcPr>
          <w:p w14:paraId="4EC632C0" w14:textId="77777777" w:rsidR="000E76B9" w:rsidRDefault="00A86600">
            <w:pPr>
              <w:snapToGrid w:val="0"/>
              <w:spacing w:line="260" w:lineRule="exact"/>
              <w:jc w:val="center"/>
              <w:rPr>
                <w:rFonts w:eastAsia="仿宋"/>
                <w:sz w:val="24"/>
                <w:szCs w:val="24"/>
              </w:rPr>
            </w:pPr>
            <w:r>
              <w:rPr>
                <w:rFonts w:eastAsia="仿宋" w:hint="eastAsia"/>
                <w:sz w:val="24"/>
                <w:szCs w:val="24"/>
              </w:rPr>
              <w:t>0.011</w:t>
            </w:r>
          </w:p>
        </w:tc>
        <w:tc>
          <w:tcPr>
            <w:tcW w:w="828" w:type="pct"/>
            <w:vAlign w:val="center"/>
          </w:tcPr>
          <w:p w14:paraId="2495C04D" w14:textId="77777777" w:rsidR="000E76B9" w:rsidRDefault="00A86600">
            <w:pPr>
              <w:snapToGrid w:val="0"/>
              <w:spacing w:line="260" w:lineRule="exact"/>
              <w:jc w:val="center"/>
              <w:rPr>
                <w:rFonts w:eastAsia="仿宋"/>
                <w:sz w:val="24"/>
                <w:szCs w:val="24"/>
              </w:rPr>
            </w:pPr>
            <w:r>
              <w:rPr>
                <w:rFonts w:eastAsia="仿宋" w:hint="eastAsia"/>
                <w:sz w:val="24"/>
                <w:szCs w:val="24"/>
              </w:rPr>
              <w:t>0.002</w:t>
            </w:r>
          </w:p>
        </w:tc>
        <w:tc>
          <w:tcPr>
            <w:tcW w:w="828" w:type="pct"/>
            <w:vAlign w:val="center"/>
          </w:tcPr>
          <w:p w14:paraId="1FFF0791" w14:textId="77777777" w:rsidR="000E76B9" w:rsidRDefault="00A86600">
            <w:pPr>
              <w:snapToGrid w:val="0"/>
              <w:spacing w:line="260" w:lineRule="exact"/>
              <w:jc w:val="center"/>
              <w:rPr>
                <w:rFonts w:eastAsia="仿宋"/>
                <w:sz w:val="24"/>
                <w:szCs w:val="24"/>
              </w:rPr>
            </w:pPr>
            <w:r>
              <w:rPr>
                <w:rFonts w:eastAsia="仿宋" w:hint="eastAsia"/>
                <w:sz w:val="24"/>
                <w:szCs w:val="24"/>
              </w:rPr>
              <w:t>0.112</w:t>
            </w:r>
          </w:p>
        </w:tc>
        <w:tc>
          <w:tcPr>
            <w:tcW w:w="830" w:type="pct"/>
            <w:vAlign w:val="center"/>
          </w:tcPr>
          <w:p w14:paraId="15D204FE" w14:textId="77777777" w:rsidR="000E76B9" w:rsidRDefault="00A86600">
            <w:pPr>
              <w:snapToGrid w:val="0"/>
              <w:spacing w:line="260" w:lineRule="exact"/>
              <w:jc w:val="center"/>
              <w:rPr>
                <w:rFonts w:eastAsia="仿宋"/>
                <w:sz w:val="24"/>
                <w:szCs w:val="24"/>
              </w:rPr>
            </w:pPr>
            <w:r>
              <w:rPr>
                <w:rFonts w:eastAsia="仿宋" w:hint="eastAsia"/>
                <w:sz w:val="24"/>
                <w:szCs w:val="24"/>
              </w:rPr>
              <w:t>5.71</w:t>
            </w:r>
          </w:p>
        </w:tc>
      </w:tr>
      <w:tr w:rsidR="000E76B9" w14:paraId="32363202" w14:textId="77777777">
        <w:trPr>
          <w:trHeight w:val="454"/>
          <w:tblHeader/>
        </w:trPr>
        <w:tc>
          <w:tcPr>
            <w:tcW w:w="827" w:type="pct"/>
            <w:vAlign w:val="center"/>
          </w:tcPr>
          <w:p w14:paraId="33315239" w14:textId="77777777" w:rsidR="000E76B9" w:rsidRDefault="00A86600">
            <w:pPr>
              <w:snapToGrid w:val="0"/>
              <w:spacing w:line="260" w:lineRule="exact"/>
              <w:jc w:val="center"/>
              <w:rPr>
                <w:rFonts w:eastAsia="仿宋"/>
                <w:sz w:val="24"/>
                <w:szCs w:val="24"/>
              </w:rPr>
            </w:pPr>
            <w:r>
              <w:rPr>
                <w:rFonts w:eastAsia="仿宋" w:hint="eastAsia"/>
                <w:sz w:val="24"/>
                <w:szCs w:val="24"/>
              </w:rPr>
              <w:t>甲硫醇</w:t>
            </w:r>
          </w:p>
        </w:tc>
        <w:tc>
          <w:tcPr>
            <w:tcW w:w="860" w:type="pct"/>
            <w:vAlign w:val="center"/>
          </w:tcPr>
          <w:p w14:paraId="062C1167" w14:textId="77777777" w:rsidR="000E76B9" w:rsidRDefault="00A86600">
            <w:pPr>
              <w:snapToGrid w:val="0"/>
              <w:spacing w:line="260" w:lineRule="exact"/>
              <w:jc w:val="center"/>
              <w:rPr>
                <w:rFonts w:eastAsia="仿宋"/>
                <w:sz w:val="24"/>
                <w:szCs w:val="24"/>
              </w:rPr>
            </w:pPr>
            <w:r>
              <w:rPr>
                <w:rFonts w:eastAsia="仿宋" w:hint="eastAsia"/>
                <w:sz w:val="24"/>
                <w:szCs w:val="24"/>
              </w:rPr>
              <w:t>0.000150336</w:t>
            </w:r>
          </w:p>
        </w:tc>
        <w:tc>
          <w:tcPr>
            <w:tcW w:w="827" w:type="pct"/>
            <w:vAlign w:val="center"/>
          </w:tcPr>
          <w:p w14:paraId="63A454D6" w14:textId="77777777" w:rsidR="000E76B9" w:rsidRDefault="00A86600">
            <w:pPr>
              <w:snapToGrid w:val="0"/>
              <w:spacing w:line="260" w:lineRule="exact"/>
              <w:jc w:val="center"/>
              <w:rPr>
                <w:rFonts w:eastAsia="仿宋"/>
                <w:sz w:val="24"/>
                <w:szCs w:val="24"/>
              </w:rPr>
            </w:pPr>
            <w:r>
              <w:rPr>
                <w:rFonts w:eastAsia="仿宋" w:hint="eastAsia"/>
                <w:sz w:val="24"/>
                <w:szCs w:val="24"/>
              </w:rPr>
              <w:t>0.292</w:t>
            </w:r>
          </w:p>
        </w:tc>
        <w:tc>
          <w:tcPr>
            <w:tcW w:w="828" w:type="pct"/>
            <w:vAlign w:val="center"/>
          </w:tcPr>
          <w:p w14:paraId="32578D54" w14:textId="77777777" w:rsidR="000E76B9" w:rsidRDefault="00A86600">
            <w:pPr>
              <w:snapToGrid w:val="0"/>
              <w:spacing w:line="260" w:lineRule="exact"/>
              <w:jc w:val="center"/>
              <w:rPr>
                <w:rFonts w:eastAsia="仿宋"/>
                <w:sz w:val="24"/>
                <w:szCs w:val="24"/>
              </w:rPr>
            </w:pPr>
            <w:r>
              <w:rPr>
                <w:rFonts w:eastAsia="仿宋" w:hint="eastAsia"/>
                <w:sz w:val="24"/>
                <w:szCs w:val="24"/>
              </w:rPr>
              <w:t>0.158</w:t>
            </w:r>
          </w:p>
        </w:tc>
        <w:tc>
          <w:tcPr>
            <w:tcW w:w="828" w:type="pct"/>
            <w:vAlign w:val="center"/>
          </w:tcPr>
          <w:p w14:paraId="63D5A575" w14:textId="77777777" w:rsidR="000E76B9" w:rsidRDefault="00A86600">
            <w:pPr>
              <w:snapToGrid w:val="0"/>
              <w:spacing w:line="260" w:lineRule="exact"/>
              <w:jc w:val="center"/>
              <w:rPr>
                <w:rFonts w:eastAsia="仿宋"/>
                <w:sz w:val="24"/>
                <w:szCs w:val="24"/>
              </w:rPr>
            </w:pPr>
            <w:r>
              <w:rPr>
                <w:rFonts w:eastAsia="仿宋" w:hint="eastAsia"/>
                <w:sz w:val="24"/>
                <w:szCs w:val="24"/>
              </w:rPr>
              <w:t>0.0323</w:t>
            </w:r>
          </w:p>
        </w:tc>
        <w:tc>
          <w:tcPr>
            <w:tcW w:w="830" w:type="pct"/>
            <w:vAlign w:val="center"/>
          </w:tcPr>
          <w:p w14:paraId="16396075" w14:textId="77777777" w:rsidR="000E76B9" w:rsidRDefault="00A86600">
            <w:pPr>
              <w:snapToGrid w:val="0"/>
              <w:spacing w:line="260" w:lineRule="exact"/>
              <w:jc w:val="center"/>
              <w:rPr>
                <w:rFonts w:eastAsia="仿宋"/>
                <w:sz w:val="24"/>
                <w:szCs w:val="24"/>
              </w:rPr>
            </w:pPr>
            <w:r>
              <w:rPr>
                <w:rFonts w:eastAsia="仿宋" w:hint="eastAsia"/>
                <w:sz w:val="24"/>
                <w:szCs w:val="24"/>
              </w:rPr>
              <w:t>0.0849</w:t>
            </w:r>
          </w:p>
        </w:tc>
      </w:tr>
      <w:tr w:rsidR="000E76B9" w14:paraId="0F838577" w14:textId="77777777">
        <w:trPr>
          <w:trHeight w:val="454"/>
          <w:tblHeader/>
        </w:trPr>
        <w:tc>
          <w:tcPr>
            <w:tcW w:w="827" w:type="pct"/>
            <w:vAlign w:val="center"/>
          </w:tcPr>
          <w:p w14:paraId="642957D5" w14:textId="77777777" w:rsidR="000E76B9" w:rsidRDefault="00A86600">
            <w:pPr>
              <w:snapToGrid w:val="0"/>
              <w:spacing w:line="260" w:lineRule="exact"/>
              <w:jc w:val="center"/>
              <w:rPr>
                <w:rFonts w:eastAsia="仿宋"/>
                <w:sz w:val="24"/>
                <w:szCs w:val="24"/>
              </w:rPr>
            </w:pPr>
            <w:r>
              <w:rPr>
                <w:rFonts w:eastAsia="仿宋" w:hint="eastAsia"/>
                <w:sz w:val="24"/>
                <w:szCs w:val="24"/>
              </w:rPr>
              <w:t>甲硫醚</w:t>
            </w:r>
          </w:p>
        </w:tc>
        <w:tc>
          <w:tcPr>
            <w:tcW w:w="860" w:type="pct"/>
            <w:vAlign w:val="center"/>
          </w:tcPr>
          <w:p w14:paraId="211B6FCE" w14:textId="77777777" w:rsidR="000E76B9" w:rsidRDefault="00A86600">
            <w:pPr>
              <w:snapToGrid w:val="0"/>
              <w:spacing w:line="260" w:lineRule="exact"/>
              <w:jc w:val="center"/>
              <w:rPr>
                <w:rFonts w:eastAsia="仿宋"/>
                <w:sz w:val="24"/>
                <w:szCs w:val="24"/>
              </w:rPr>
            </w:pPr>
            <w:r>
              <w:rPr>
                <w:rFonts w:eastAsia="仿宋" w:hint="eastAsia"/>
                <w:sz w:val="24"/>
                <w:szCs w:val="24"/>
              </w:rPr>
              <w:t>0.008320982</w:t>
            </w:r>
          </w:p>
        </w:tc>
        <w:tc>
          <w:tcPr>
            <w:tcW w:w="827" w:type="pct"/>
            <w:vAlign w:val="center"/>
          </w:tcPr>
          <w:p w14:paraId="349CFB1E" w14:textId="77777777" w:rsidR="000E76B9" w:rsidRDefault="00A86600">
            <w:pPr>
              <w:snapToGrid w:val="0"/>
              <w:spacing w:line="260" w:lineRule="exact"/>
              <w:jc w:val="center"/>
              <w:rPr>
                <w:rFonts w:eastAsia="仿宋"/>
                <w:sz w:val="24"/>
                <w:szCs w:val="24"/>
              </w:rPr>
            </w:pPr>
            <w:r>
              <w:rPr>
                <w:rFonts w:eastAsia="仿宋" w:hint="eastAsia"/>
                <w:sz w:val="24"/>
                <w:szCs w:val="24"/>
              </w:rPr>
              <w:t>0.0691</w:t>
            </w:r>
          </w:p>
        </w:tc>
        <w:tc>
          <w:tcPr>
            <w:tcW w:w="828" w:type="pct"/>
            <w:vAlign w:val="center"/>
          </w:tcPr>
          <w:p w14:paraId="055A7A1B" w14:textId="77777777" w:rsidR="000E76B9" w:rsidRDefault="00A86600">
            <w:pPr>
              <w:snapToGrid w:val="0"/>
              <w:spacing w:line="260" w:lineRule="exact"/>
              <w:jc w:val="center"/>
              <w:rPr>
                <w:rFonts w:eastAsia="仿宋"/>
                <w:sz w:val="24"/>
                <w:szCs w:val="24"/>
              </w:rPr>
            </w:pPr>
            <w:r>
              <w:rPr>
                <w:rFonts w:eastAsia="仿宋" w:hint="eastAsia"/>
                <w:sz w:val="24"/>
                <w:szCs w:val="24"/>
              </w:rPr>
              <w:t>0.0483</w:t>
            </w:r>
          </w:p>
        </w:tc>
        <w:tc>
          <w:tcPr>
            <w:tcW w:w="828" w:type="pct"/>
            <w:vAlign w:val="center"/>
          </w:tcPr>
          <w:p w14:paraId="7B0B06DE" w14:textId="77777777" w:rsidR="000E76B9" w:rsidRDefault="00A86600">
            <w:pPr>
              <w:snapToGrid w:val="0"/>
              <w:spacing w:line="260" w:lineRule="exact"/>
              <w:jc w:val="center"/>
              <w:rPr>
                <w:rFonts w:eastAsia="仿宋"/>
                <w:sz w:val="24"/>
                <w:szCs w:val="24"/>
              </w:rPr>
            </w:pPr>
            <w:r>
              <w:rPr>
                <w:rFonts w:eastAsia="仿宋" w:hint="eastAsia"/>
                <w:sz w:val="24"/>
                <w:szCs w:val="24"/>
              </w:rPr>
              <w:t>0.0076</w:t>
            </w:r>
          </w:p>
        </w:tc>
        <w:tc>
          <w:tcPr>
            <w:tcW w:w="830" w:type="pct"/>
            <w:vAlign w:val="center"/>
          </w:tcPr>
          <w:p w14:paraId="7113612A" w14:textId="77777777" w:rsidR="000E76B9" w:rsidRDefault="00A86600">
            <w:pPr>
              <w:snapToGrid w:val="0"/>
              <w:spacing w:line="260" w:lineRule="exact"/>
              <w:jc w:val="center"/>
              <w:rPr>
                <w:rFonts w:eastAsia="仿宋"/>
                <w:sz w:val="24"/>
                <w:szCs w:val="24"/>
              </w:rPr>
            </w:pPr>
            <w:r>
              <w:rPr>
                <w:rFonts w:eastAsia="仿宋" w:hint="eastAsia"/>
                <w:sz w:val="24"/>
                <w:szCs w:val="24"/>
              </w:rPr>
              <w:t>0.0032</w:t>
            </w:r>
          </w:p>
        </w:tc>
      </w:tr>
      <w:tr w:rsidR="000E76B9" w14:paraId="56E980C0" w14:textId="77777777">
        <w:trPr>
          <w:trHeight w:val="454"/>
          <w:tblHeader/>
        </w:trPr>
        <w:tc>
          <w:tcPr>
            <w:tcW w:w="827" w:type="pct"/>
            <w:vAlign w:val="center"/>
          </w:tcPr>
          <w:p w14:paraId="43A3EDC9" w14:textId="77777777" w:rsidR="000E76B9" w:rsidRDefault="00A86600">
            <w:pPr>
              <w:snapToGrid w:val="0"/>
              <w:spacing w:line="260" w:lineRule="exact"/>
              <w:jc w:val="center"/>
              <w:rPr>
                <w:rFonts w:eastAsia="仿宋"/>
                <w:sz w:val="24"/>
                <w:szCs w:val="24"/>
              </w:rPr>
            </w:pPr>
            <w:r>
              <w:rPr>
                <w:rFonts w:eastAsia="仿宋" w:hint="eastAsia"/>
                <w:sz w:val="24"/>
                <w:szCs w:val="24"/>
              </w:rPr>
              <w:t>二甲二硫</w:t>
            </w:r>
          </w:p>
        </w:tc>
        <w:tc>
          <w:tcPr>
            <w:tcW w:w="860" w:type="pct"/>
            <w:vAlign w:val="center"/>
          </w:tcPr>
          <w:p w14:paraId="02E623C5" w14:textId="77777777" w:rsidR="000E76B9" w:rsidRDefault="00A86600">
            <w:pPr>
              <w:snapToGrid w:val="0"/>
              <w:spacing w:line="260" w:lineRule="exact"/>
              <w:jc w:val="center"/>
              <w:rPr>
                <w:rFonts w:eastAsia="仿宋"/>
                <w:sz w:val="24"/>
                <w:szCs w:val="24"/>
              </w:rPr>
            </w:pPr>
            <w:r>
              <w:rPr>
                <w:rFonts w:eastAsia="仿宋" w:hint="eastAsia"/>
                <w:sz w:val="24"/>
                <w:szCs w:val="24"/>
              </w:rPr>
              <w:t>0.009251786</w:t>
            </w:r>
          </w:p>
        </w:tc>
        <w:tc>
          <w:tcPr>
            <w:tcW w:w="827" w:type="pct"/>
            <w:vAlign w:val="center"/>
          </w:tcPr>
          <w:p w14:paraId="51F6F7AF" w14:textId="77777777" w:rsidR="000E76B9" w:rsidRDefault="00A86600">
            <w:pPr>
              <w:snapToGrid w:val="0"/>
              <w:spacing w:line="260" w:lineRule="exact"/>
              <w:jc w:val="center"/>
              <w:rPr>
                <w:rFonts w:eastAsia="仿宋"/>
                <w:sz w:val="24"/>
                <w:szCs w:val="24"/>
              </w:rPr>
            </w:pPr>
            <w:r>
              <w:rPr>
                <w:rFonts w:eastAsia="仿宋" w:hint="eastAsia"/>
                <w:sz w:val="24"/>
                <w:szCs w:val="24"/>
              </w:rPr>
              <w:t>0.659</w:t>
            </w:r>
          </w:p>
        </w:tc>
        <w:tc>
          <w:tcPr>
            <w:tcW w:w="828" w:type="pct"/>
            <w:vAlign w:val="center"/>
          </w:tcPr>
          <w:p w14:paraId="0A88DA7C" w14:textId="77777777" w:rsidR="000E76B9" w:rsidRDefault="00A86600">
            <w:pPr>
              <w:snapToGrid w:val="0"/>
              <w:spacing w:line="260" w:lineRule="exact"/>
              <w:jc w:val="center"/>
              <w:rPr>
                <w:rFonts w:eastAsia="仿宋"/>
                <w:sz w:val="24"/>
                <w:szCs w:val="24"/>
              </w:rPr>
            </w:pPr>
            <w:r>
              <w:rPr>
                <w:rFonts w:eastAsia="仿宋" w:hint="eastAsia"/>
                <w:sz w:val="24"/>
                <w:szCs w:val="24"/>
              </w:rPr>
              <w:t>0.402</w:t>
            </w:r>
          </w:p>
        </w:tc>
        <w:tc>
          <w:tcPr>
            <w:tcW w:w="828" w:type="pct"/>
            <w:vAlign w:val="center"/>
          </w:tcPr>
          <w:p w14:paraId="3F326C5D" w14:textId="77777777" w:rsidR="000E76B9" w:rsidRDefault="00A86600">
            <w:pPr>
              <w:snapToGrid w:val="0"/>
              <w:spacing w:line="260" w:lineRule="exact"/>
              <w:jc w:val="center"/>
              <w:rPr>
                <w:rFonts w:eastAsia="仿宋"/>
                <w:sz w:val="24"/>
                <w:szCs w:val="24"/>
              </w:rPr>
            </w:pPr>
            <w:r>
              <w:rPr>
                <w:rFonts w:eastAsia="仿宋" w:hint="eastAsia"/>
                <w:sz w:val="24"/>
                <w:szCs w:val="24"/>
              </w:rPr>
              <w:t>0.0735</w:t>
            </w:r>
          </w:p>
        </w:tc>
        <w:tc>
          <w:tcPr>
            <w:tcW w:w="830" w:type="pct"/>
            <w:vAlign w:val="center"/>
          </w:tcPr>
          <w:p w14:paraId="0C73F0CC" w14:textId="77777777" w:rsidR="000E76B9" w:rsidRDefault="00A86600">
            <w:pPr>
              <w:snapToGrid w:val="0"/>
              <w:spacing w:line="260" w:lineRule="exact"/>
              <w:jc w:val="center"/>
              <w:rPr>
                <w:rFonts w:eastAsia="仿宋"/>
                <w:sz w:val="24"/>
                <w:szCs w:val="24"/>
              </w:rPr>
            </w:pPr>
            <w:r>
              <w:rPr>
                <w:rFonts w:eastAsia="仿宋" w:hint="eastAsia"/>
                <w:sz w:val="24"/>
                <w:szCs w:val="24"/>
              </w:rPr>
              <w:t>0.0072</w:t>
            </w:r>
          </w:p>
        </w:tc>
      </w:tr>
      <w:tr w:rsidR="000E76B9" w14:paraId="0782A234" w14:textId="77777777">
        <w:trPr>
          <w:trHeight w:val="454"/>
          <w:tblHeader/>
        </w:trPr>
        <w:tc>
          <w:tcPr>
            <w:tcW w:w="827" w:type="pct"/>
            <w:vAlign w:val="center"/>
          </w:tcPr>
          <w:p w14:paraId="56FD19E5" w14:textId="77777777" w:rsidR="000E76B9" w:rsidRDefault="00A86600">
            <w:pPr>
              <w:snapToGrid w:val="0"/>
              <w:spacing w:line="260" w:lineRule="exact"/>
              <w:jc w:val="center"/>
              <w:rPr>
                <w:rFonts w:eastAsia="仿宋"/>
                <w:sz w:val="24"/>
                <w:szCs w:val="24"/>
              </w:rPr>
            </w:pPr>
            <w:r>
              <w:rPr>
                <w:rFonts w:eastAsia="仿宋" w:hint="eastAsia"/>
                <w:sz w:val="24"/>
                <w:szCs w:val="24"/>
              </w:rPr>
              <w:t>二硫化碳</w:t>
            </w:r>
          </w:p>
        </w:tc>
        <w:tc>
          <w:tcPr>
            <w:tcW w:w="860" w:type="pct"/>
            <w:vAlign w:val="center"/>
          </w:tcPr>
          <w:p w14:paraId="46D73F5B" w14:textId="77777777" w:rsidR="000E76B9" w:rsidRDefault="00A86600">
            <w:pPr>
              <w:snapToGrid w:val="0"/>
              <w:spacing w:line="260" w:lineRule="exact"/>
              <w:jc w:val="center"/>
              <w:rPr>
                <w:rFonts w:eastAsia="仿宋"/>
                <w:sz w:val="24"/>
                <w:szCs w:val="24"/>
              </w:rPr>
            </w:pPr>
            <w:r>
              <w:rPr>
                <w:rFonts w:eastAsia="仿宋" w:hint="eastAsia"/>
                <w:sz w:val="24"/>
                <w:szCs w:val="24"/>
              </w:rPr>
              <w:t>0.7138125</w:t>
            </w:r>
          </w:p>
        </w:tc>
        <w:tc>
          <w:tcPr>
            <w:tcW w:w="827" w:type="pct"/>
            <w:vAlign w:val="center"/>
          </w:tcPr>
          <w:p w14:paraId="4AA665BE" w14:textId="77777777" w:rsidR="000E76B9" w:rsidRDefault="00A86600">
            <w:pPr>
              <w:snapToGrid w:val="0"/>
              <w:spacing w:line="260" w:lineRule="exact"/>
              <w:jc w:val="center"/>
              <w:rPr>
                <w:rFonts w:eastAsia="仿宋"/>
                <w:sz w:val="24"/>
                <w:szCs w:val="24"/>
              </w:rPr>
            </w:pPr>
            <w:r>
              <w:rPr>
                <w:rFonts w:eastAsia="仿宋" w:hint="eastAsia"/>
                <w:sz w:val="24"/>
                <w:szCs w:val="24"/>
              </w:rPr>
              <w:t>&lt;0.0004</w:t>
            </w:r>
          </w:p>
        </w:tc>
        <w:tc>
          <w:tcPr>
            <w:tcW w:w="828" w:type="pct"/>
            <w:vAlign w:val="center"/>
          </w:tcPr>
          <w:p w14:paraId="6C9A0223" w14:textId="77777777" w:rsidR="000E76B9" w:rsidRDefault="00A86600">
            <w:pPr>
              <w:snapToGrid w:val="0"/>
              <w:spacing w:line="260" w:lineRule="exact"/>
              <w:jc w:val="center"/>
              <w:rPr>
                <w:rFonts w:eastAsia="仿宋"/>
                <w:sz w:val="24"/>
                <w:szCs w:val="24"/>
              </w:rPr>
            </w:pPr>
            <w:r>
              <w:rPr>
                <w:rFonts w:eastAsia="仿宋" w:hint="eastAsia"/>
                <w:sz w:val="24"/>
                <w:szCs w:val="24"/>
              </w:rPr>
              <w:t>0.0029</w:t>
            </w:r>
          </w:p>
        </w:tc>
        <w:tc>
          <w:tcPr>
            <w:tcW w:w="828" w:type="pct"/>
            <w:vAlign w:val="center"/>
          </w:tcPr>
          <w:p w14:paraId="6B50E9EE" w14:textId="77777777" w:rsidR="000E76B9" w:rsidRDefault="00A86600">
            <w:pPr>
              <w:snapToGrid w:val="0"/>
              <w:spacing w:line="260" w:lineRule="exact"/>
              <w:jc w:val="center"/>
              <w:rPr>
                <w:rFonts w:eastAsia="仿宋"/>
                <w:sz w:val="24"/>
                <w:szCs w:val="24"/>
              </w:rPr>
            </w:pPr>
            <w:r>
              <w:rPr>
                <w:rFonts w:eastAsia="仿宋" w:hint="eastAsia"/>
                <w:sz w:val="24"/>
                <w:szCs w:val="24"/>
              </w:rPr>
              <w:t>0.0024</w:t>
            </w:r>
          </w:p>
        </w:tc>
        <w:tc>
          <w:tcPr>
            <w:tcW w:w="830" w:type="pct"/>
            <w:vAlign w:val="center"/>
          </w:tcPr>
          <w:p w14:paraId="1A2B3AFC" w14:textId="77777777" w:rsidR="000E76B9" w:rsidRDefault="00A86600">
            <w:pPr>
              <w:snapToGrid w:val="0"/>
              <w:spacing w:line="260" w:lineRule="exact"/>
              <w:jc w:val="center"/>
              <w:rPr>
                <w:rFonts w:eastAsia="仿宋"/>
                <w:sz w:val="24"/>
                <w:szCs w:val="24"/>
              </w:rPr>
            </w:pPr>
            <w:r>
              <w:rPr>
                <w:rFonts w:eastAsia="仿宋" w:hint="eastAsia"/>
                <w:sz w:val="24"/>
                <w:szCs w:val="24"/>
              </w:rPr>
              <w:t>0.0253</w:t>
            </w:r>
          </w:p>
        </w:tc>
      </w:tr>
      <w:tr w:rsidR="000E76B9" w14:paraId="40F3B35C" w14:textId="77777777">
        <w:trPr>
          <w:trHeight w:val="454"/>
          <w:tblHeader/>
        </w:trPr>
        <w:tc>
          <w:tcPr>
            <w:tcW w:w="827" w:type="pct"/>
            <w:vAlign w:val="center"/>
          </w:tcPr>
          <w:p w14:paraId="39955166" w14:textId="77777777" w:rsidR="000E76B9" w:rsidRDefault="00A86600">
            <w:pPr>
              <w:snapToGrid w:val="0"/>
              <w:spacing w:line="260" w:lineRule="exact"/>
              <w:jc w:val="center"/>
              <w:rPr>
                <w:rFonts w:eastAsia="仿宋"/>
                <w:sz w:val="24"/>
                <w:szCs w:val="24"/>
              </w:rPr>
            </w:pPr>
            <w:r>
              <w:rPr>
                <w:rFonts w:eastAsia="仿宋" w:hint="eastAsia"/>
                <w:sz w:val="24"/>
                <w:szCs w:val="24"/>
              </w:rPr>
              <w:t>苯乙烯</w:t>
            </w:r>
          </w:p>
        </w:tc>
        <w:tc>
          <w:tcPr>
            <w:tcW w:w="860" w:type="pct"/>
            <w:vAlign w:val="center"/>
          </w:tcPr>
          <w:p w14:paraId="30608BD9" w14:textId="77777777" w:rsidR="000E76B9" w:rsidRDefault="00A86600">
            <w:pPr>
              <w:snapToGrid w:val="0"/>
              <w:spacing w:line="260" w:lineRule="exact"/>
              <w:jc w:val="center"/>
              <w:rPr>
                <w:rFonts w:eastAsia="仿宋"/>
                <w:sz w:val="24"/>
                <w:szCs w:val="24"/>
              </w:rPr>
            </w:pPr>
            <w:r>
              <w:rPr>
                <w:rFonts w:eastAsia="仿宋" w:hint="eastAsia"/>
                <w:sz w:val="24"/>
                <w:szCs w:val="24"/>
              </w:rPr>
              <w:t>0.162734375</w:t>
            </w:r>
          </w:p>
        </w:tc>
        <w:tc>
          <w:tcPr>
            <w:tcW w:w="827" w:type="pct"/>
            <w:vAlign w:val="center"/>
          </w:tcPr>
          <w:p w14:paraId="02E1DCDA" w14:textId="77777777" w:rsidR="000E76B9" w:rsidRDefault="00A86600">
            <w:pPr>
              <w:snapToGrid w:val="0"/>
              <w:spacing w:line="260" w:lineRule="exact"/>
              <w:jc w:val="center"/>
              <w:rPr>
                <w:rFonts w:eastAsia="仿宋"/>
                <w:sz w:val="24"/>
                <w:szCs w:val="24"/>
              </w:rPr>
            </w:pPr>
            <w:r>
              <w:rPr>
                <w:rFonts w:eastAsia="仿宋" w:hint="eastAsia"/>
                <w:sz w:val="24"/>
                <w:szCs w:val="24"/>
              </w:rPr>
              <w:t>0.0012</w:t>
            </w:r>
          </w:p>
        </w:tc>
        <w:tc>
          <w:tcPr>
            <w:tcW w:w="828" w:type="pct"/>
            <w:vAlign w:val="center"/>
          </w:tcPr>
          <w:p w14:paraId="2DE24295" w14:textId="77777777" w:rsidR="000E76B9" w:rsidRDefault="00A86600">
            <w:pPr>
              <w:snapToGrid w:val="0"/>
              <w:spacing w:line="260" w:lineRule="exact"/>
              <w:jc w:val="center"/>
              <w:rPr>
                <w:rFonts w:eastAsia="仿宋"/>
                <w:sz w:val="24"/>
                <w:szCs w:val="24"/>
              </w:rPr>
            </w:pPr>
            <w:r>
              <w:rPr>
                <w:rFonts w:eastAsia="仿宋" w:hint="eastAsia"/>
                <w:sz w:val="24"/>
                <w:szCs w:val="24"/>
              </w:rPr>
              <w:t>&lt;0.0006</w:t>
            </w:r>
          </w:p>
        </w:tc>
        <w:tc>
          <w:tcPr>
            <w:tcW w:w="828" w:type="pct"/>
            <w:vAlign w:val="center"/>
          </w:tcPr>
          <w:p w14:paraId="5C210820" w14:textId="77777777" w:rsidR="000E76B9" w:rsidRDefault="00A86600">
            <w:pPr>
              <w:snapToGrid w:val="0"/>
              <w:spacing w:line="260" w:lineRule="exact"/>
              <w:jc w:val="center"/>
              <w:rPr>
                <w:rFonts w:eastAsia="仿宋"/>
                <w:sz w:val="24"/>
                <w:szCs w:val="24"/>
              </w:rPr>
            </w:pPr>
            <w:r>
              <w:rPr>
                <w:rFonts w:eastAsia="仿宋" w:hint="eastAsia"/>
                <w:sz w:val="24"/>
                <w:szCs w:val="24"/>
              </w:rPr>
              <w:t>&lt;0.0006</w:t>
            </w:r>
          </w:p>
        </w:tc>
        <w:tc>
          <w:tcPr>
            <w:tcW w:w="830" w:type="pct"/>
            <w:vAlign w:val="center"/>
          </w:tcPr>
          <w:p w14:paraId="7A4194BB" w14:textId="77777777" w:rsidR="000E76B9" w:rsidRDefault="00A86600">
            <w:pPr>
              <w:snapToGrid w:val="0"/>
              <w:spacing w:line="260" w:lineRule="exact"/>
              <w:jc w:val="center"/>
              <w:rPr>
                <w:rFonts w:eastAsia="仿宋"/>
                <w:sz w:val="24"/>
                <w:szCs w:val="24"/>
              </w:rPr>
            </w:pPr>
            <w:r>
              <w:rPr>
                <w:rFonts w:eastAsia="仿宋" w:hint="eastAsia"/>
                <w:sz w:val="24"/>
                <w:szCs w:val="24"/>
              </w:rPr>
              <w:t>0.512</w:t>
            </w:r>
          </w:p>
        </w:tc>
      </w:tr>
      <w:tr w:rsidR="000E76B9" w14:paraId="6E4AD6AD" w14:textId="77777777">
        <w:trPr>
          <w:trHeight w:val="454"/>
          <w:tblHeader/>
        </w:trPr>
        <w:tc>
          <w:tcPr>
            <w:tcW w:w="827" w:type="pct"/>
            <w:vAlign w:val="center"/>
          </w:tcPr>
          <w:p w14:paraId="603499C6" w14:textId="77777777" w:rsidR="000E76B9" w:rsidRDefault="00A86600">
            <w:pPr>
              <w:snapToGrid w:val="0"/>
              <w:spacing w:line="260" w:lineRule="exact"/>
              <w:jc w:val="center"/>
              <w:rPr>
                <w:rFonts w:eastAsia="仿宋"/>
                <w:sz w:val="24"/>
                <w:szCs w:val="24"/>
              </w:rPr>
            </w:pPr>
            <w:r>
              <w:rPr>
                <w:rFonts w:eastAsia="仿宋" w:hint="eastAsia"/>
                <w:sz w:val="24"/>
                <w:szCs w:val="24"/>
              </w:rPr>
              <w:t>乙苯</w:t>
            </w:r>
          </w:p>
        </w:tc>
        <w:tc>
          <w:tcPr>
            <w:tcW w:w="860" w:type="pct"/>
            <w:vAlign w:val="center"/>
          </w:tcPr>
          <w:p w14:paraId="5CFC3A76" w14:textId="77777777" w:rsidR="000E76B9" w:rsidRDefault="00A86600">
            <w:pPr>
              <w:snapToGrid w:val="0"/>
              <w:spacing w:line="260" w:lineRule="exact"/>
              <w:jc w:val="center"/>
              <w:rPr>
                <w:rFonts w:eastAsia="仿宋"/>
                <w:sz w:val="24"/>
                <w:szCs w:val="24"/>
              </w:rPr>
            </w:pPr>
            <w:r>
              <w:rPr>
                <w:rFonts w:eastAsia="仿宋" w:hint="eastAsia"/>
                <w:sz w:val="24"/>
                <w:szCs w:val="24"/>
              </w:rPr>
              <w:t>0.805716518</w:t>
            </w:r>
          </w:p>
        </w:tc>
        <w:tc>
          <w:tcPr>
            <w:tcW w:w="827" w:type="pct"/>
            <w:vAlign w:val="center"/>
          </w:tcPr>
          <w:p w14:paraId="535BB288" w14:textId="77777777" w:rsidR="000E76B9" w:rsidRDefault="00A86600">
            <w:pPr>
              <w:snapToGrid w:val="0"/>
              <w:spacing w:line="260" w:lineRule="exact"/>
              <w:jc w:val="center"/>
              <w:rPr>
                <w:rFonts w:eastAsia="仿宋"/>
                <w:sz w:val="24"/>
                <w:szCs w:val="24"/>
              </w:rPr>
            </w:pPr>
            <w:r>
              <w:rPr>
                <w:rFonts w:eastAsia="仿宋" w:hint="eastAsia"/>
                <w:sz w:val="24"/>
                <w:szCs w:val="24"/>
              </w:rPr>
              <w:t>0.0018</w:t>
            </w:r>
          </w:p>
        </w:tc>
        <w:tc>
          <w:tcPr>
            <w:tcW w:w="828" w:type="pct"/>
            <w:vAlign w:val="center"/>
          </w:tcPr>
          <w:p w14:paraId="7FDCFA4C" w14:textId="77777777" w:rsidR="000E76B9" w:rsidRDefault="00A86600">
            <w:pPr>
              <w:snapToGrid w:val="0"/>
              <w:spacing w:line="260" w:lineRule="exact"/>
              <w:jc w:val="center"/>
              <w:rPr>
                <w:rFonts w:eastAsia="仿宋"/>
                <w:sz w:val="24"/>
                <w:szCs w:val="24"/>
              </w:rPr>
            </w:pPr>
            <w:r>
              <w:rPr>
                <w:rFonts w:eastAsia="仿宋" w:hint="eastAsia"/>
                <w:sz w:val="24"/>
                <w:szCs w:val="24"/>
              </w:rPr>
              <w:t>0.0022</w:t>
            </w:r>
          </w:p>
        </w:tc>
        <w:tc>
          <w:tcPr>
            <w:tcW w:w="828" w:type="pct"/>
            <w:vAlign w:val="center"/>
          </w:tcPr>
          <w:p w14:paraId="5B7B2F37" w14:textId="77777777" w:rsidR="000E76B9" w:rsidRDefault="00A86600">
            <w:pPr>
              <w:snapToGrid w:val="0"/>
              <w:spacing w:line="260" w:lineRule="exact"/>
              <w:jc w:val="center"/>
              <w:rPr>
                <w:rFonts w:eastAsia="仿宋"/>
                <w:sz w:val="24"/>
                <w:szCs w:val="24"/>
              </w:rPr>
            </w:pPr>
            <w:r>
              <w:rPr>
                <w:rFonts w:eastAsia="仿宋" w:hint="eastAsia"/>
                <w:sz w:val="24"/>
                <w:szCs w:val="24"/>
              </w:rPr>
              <w:t>0.0018</w:t>
            </w:r>
          </w:p>
        </w:tc>
        <w:tc>
          <w:tcPr>
            <w:tcW w:w="830" w:type="pct"/>
            <w:vAlign w:val="center"/>
          </w:tcPr>
          <w:p w14:paraId="1FCF49B1" w14:textId="77777777" w:rsidR="000E76B9" w:rsidRDefault="00A86600">
            <w:pPr>
              <w:snapToGrid w:val="0"/>
              <w:spacing w:line="260" w:lineRule="exact"/>
              <w:jc w:val="center"/>
              <w:rPr>
                <w:rFonts w:eastAsia="仿宋"/>
                <w:sz w:val="24"/>
                <w:szCs w:val="24"/>
              </w:rPr>
            </w:pPr>
            <w:r>
              <w:rPr>
                <w:rFonts w:eastAsia="仿宋" w:hint="eastAsia"/>
                <w:sz w:val="24"/>
                <w:szCs w:val="24"/>
              </w:rPr>
              <w:t>0.475</w:t>
            </w:r>
          </w:p>
        </w:tc>
      </w:tr>
      <w:tr w:rsidR="000E76B9" w14:paraId="0A5FFA1C" w14:textId="77777777">
        <w:trPr>
          <w:trHeight w:val="454"/>
          <w:tblHeader/>
        </w:trPr>
        <w:tc>
          <w:tcPr>
            <w:tcW w:w="827" w:type="pct"/>
            <w:vAlign w:val="center"/>
          </w:tcPr>
          <w:p w14:paraId="481AA0B6" w14:textId="77777777" w:rsidR="000E76B9" w:rsidRDefault="00A86600">
            <w:pPr>
              <w:snapToGrid w:val="0"/>
              <w:spacing w:line="260" w:lineRule="exact"/>
              <w:jc w:val="center"/>
              <w:rPr>
                <w:rFonts w:eastAsia="仿宋"/>
                <w:sz w:val="24"/>
                <w:szCs w:val="24"/>
              </w:rPr>
            </w:pPr>
            <w:r>
              <w:rPr>
                <w:rFonts w:eastAsia="仿宋" w:hint="eastAsia"/>
                <w:sz w:val="24"/>
                <w:szCs w:val="24"/>
              </w:rPr>
              <w:t>丙醛</w:t>
            </w:r>
          </w:p>
        </w:tc>
        <w:tc>
          <w:tcPr>
            <w:tcW w:w="860" w:type="pct"/>
            <w:vAlign w:val="center"/>
          </w:tcPr>
          <w:p w14:paraId="40943551" w14:textId="77777777" w:rsidR="000E76B9" w:rsidRDefault="00A86600">
            <w:pPr>
              <w:snapToGrid w:val="0"/>
              <w:spacing w:line="260" w:lineRule="exact"/>
              <w:jc w:val="center"/>
              <w:rPr>
                <w:rFonts w:eastAsia="仿宋"/>
                <w:sz w:val="24"/>
                <w:szCs w:val="24"/>
              </w:rPr>
            </w:pPr>
            <w:r>
              <w:rPr>
                <w:rFonts w:eastAsia="仿宋" w:hint="eastAsia"/>
                <w:sz w:val="24"/>
                <w:szCs w:val="24"/>
              </w:rPr>
              <w:t>0.002592857</w:t>
            </w:r>
          </w:p>
        </w:tc>
        <w:tc>
          <w:tcPr>
            <w:tcW w:w="827" w:type="pct"/>
            <w:vAlign w:val="center"/>
          </w:tcPr>
          <w:p w14:paraId="10CE3E0B"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c>
          <w:tcPr>
            <w:tcW w:w="828" w:type="pct"/>
            <w:vAlign w:val="center"/>
          </w:tcPr>
          <w:p w14:paraId="532EE8C3"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c>
          <w:tcPr>
            <w:tcW w:w="828" w:type="pct"/>
            <w:vAlign w:val="center"/>
          </w:tcPr>
          <w:p w14:paraId="49A46698"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c>
          <w:tcPr>
            <w:tcW w:w="830" w:type="pct"/>
            <w:vAlign w:val="center"/>
          </w:tcPr>
          <w:p w14:paraId="4300A252"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r>
      <w:tr w:rsidR="000E76B9" w14:paraId="28003B82" w14:textId="77777777">
        <w:trPr>
          <w:trHeight w:val="454"/>
          <w:tblHeader/>
        </w:trPr>
        <w:tc>
          <w:tcPr>
            <w:tcW w:w="827" w:type="pct"/>
            <w:vAlign w:val="center"/>
          </w:tcPr>
          <w:p w14:paraId="1F0AC13E" w14:textId="77777777" w:rsidR="000E76B9" w:rsidRDefault="00A86600">
            <w:pPr>
              <w:snapToGrid w:val="0"/>
              <w:spacing w:line="260" w:lineRule="exact"/>
              <w:jc w:val="center"/>
              <w:rPr>
                <w:rFonts w:eastAsia="仿宋"/>
                <w:sz w:val="24"/>
                <w:szCs w:val="24"/>
              </w:rPr>
            </w:pPr>
            <w:r>
              <w:rPr>
                <w:rFonts w:eastAsia="仿宋" w:hint="eastAsia"/>
                <w:sz w:val="24"/>
                <w:szCs w:val="24"/>
              </w:rPr>
              <w:t>正丁醛</w:t>
            </w:r>
          </w:p>
        </w:tc>
        <w:tc>
          <w:tcPr>
            <w:tcW w:w="860" w:type="pct"/>
            <w:vAlign w:val="center"/>
          </w:tcPr>
          <w:p w14:paraId="7AA41C6B" w14:textId="77777777" w:rsidR="000E76B9" w:rsidRDefault="00A86600">
            <w:pPr>
              <w:snapToGrid w:val="0"/>
              <w:spacing w:line="260" w:lineRule="exact"/>
              <w:jc w:val="center"/>
              <w:rPr>
                <w:rFonts w:eastAsia="仿宋"/>
                <w:sz w:val="24"/>
                <w:szCs w:val="24"/>
              </w:rPr>
            </w:pPr>
            <w:r>
              <w:rPr>
                <w:rFonts w:eastAsia="仿宋" w:hint="eastAsia"/>
                <w:sz w:val="24"/>
                <w:szCs w:val="24"/>
              </w:rPr>
              <w:t>0.002156862</w:t>
            </w:r>
          </w:p>
        </w:tc>
        <w:tc>
          <w:tcPr>
            <w:tcW w:w="827" w:type="pct"/>
            <w:vAlign w:val="center"/>
          </w:tcPr>
          <w:p w14:paraId="04E33E38" w14:textId="77777777" w:rsidR="000E76B9" w:rsidRDefault="00A86600">
            <w:pPr>
              <w:snapToGrid w:val="0"/>
              <w:spacing w:line="260" w:lineRule="exact"/>
              <w:jc w:val="center"/>
              <w:rPr>
                <w:rFonts w:eastAsia="仿宋"/>
                <w:sz w:val="24"/>
                <w:szCs w:val="24"/>
              </w:rPr>
            </w:pPr>
            <w:r>
              <w:rPr>
                <w:rFonts w:eastAsia="仿宋" w:hint="eastAsia"/>
                <w:sz w:val="24"/>
                <w:szCs w:val="24"/>
              </w:rPr>
              <w:t>0.008</w:t>
            </w:r>
          </w:p>
        </w:tc>
        <w:tc>
          <w:tcPr>
            <w:tcW w:w="828" w:type="pct"/>
            <w:vAlign w:val="center"/>
          </w:tcPr>
          <w:p w14:paraId="1CD69BE0" w14:textId="77777777" w:rsidR="000E76B9" w:rsidRDefault="00A86600">
            <w:pPr>
              <w:snapToGrid w:val="0"/>
              <w:spacing w:line="260" w:lineRule="exact"/>
              <w:jc w:val="center"/>
              <w:rPr>
                <w:rFonts w:eastAsia="仿宋"/>
                <w:sz w:val="24"/>
                <w:szCs w:val="24"/>
              </w:rPr>
            </w:pPr>
            <w:r>
              <w:rPr>
                <w:rFonts w:eastAsia="仿宋" w:hint="eastAsia"/>
                <w:sz w:val="24"/>
                <w:szCs w:val="24"/>
              </w:rPr>
              <w:t>0.01</w:t>
            </w:r>
          </w:p>
        </w:tc>
        <w:tc>
          <w:tcPr>
            <w:tcW w:w="828" w:type="pct"/>
            <w:vAlign w:val="center"/>
          </w:tcPr>
          <w:p w14:paraId="70269652" w14:textId="77777777" w:rsidR="000E76B9" w:rsidRDefault="00A86600">
            <w:pPr>
              <w:snapToGrid w:val="0"/>
              <w:spacing w:line="260" w:lineRule="exact"/>
              <w:jc w:val="center"/>
              <w:rPr>
                <w:rFonts w:eastAsia="仿宋"/>
                <w:sz w:val="24"/>
                <w:szCs w:val="24"/>
              </w:rPr>
            </w:pPr>
            <w:r>
              <w:rPr>
                <w:rFonts w:eastAsia="仿宋" w:hint="eastAsia"/>
                <w:sz w:val="24"/>
                <w:szCs w:val="24"/>
              </w:rPr>
              <w:t>0.003</w:t>
            </w:r>
          </w:p>
        </w:tc>
        <w:tc>
          <w:tcPr>
            <w:tcW w:w="830" w:type="pct"/>
            <w:vAlign w:val="center"/>
          </w:tcPr>
          <w:p w14:paraId="1361BF9A"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r>
      <w:tr w:rsidR="000E76B9" w14:paraId="0B00FEBC" w14:textId="77777777">
        <w:trPr>
          <w:trHeight w:val="454"/>
          <w:tblHeader/>
        </w:trPr>
        <w:tc>
          <w:tcPr>
            <w:tcW w:w="827" w:type="pct"/>
            <w:vAlign w:val="center"/>
          </w:tcPr>
          <w:p w14:paraId="2BF7A56C" w14:textId="77777777" w:rsidR="000E76B9" w:rsidRDefault="00A86600">
            <w:pPr>
              <w:snapToGrid w:val="0"/>
              <w:spacing w:line="260" w:lineRule="exact"/>
              <w:jc w:val="center"/>
              <w:rPr>
                <w:rFonts w:eastAsia="仿宋"/>
                <w:sz w:val="24"/>
                <w:szCs w:val="24"/>
              </w:rPr>
            </w:pPr>
            <w:r>
              <w:rPr>
                <w:rFonts w:eastAsia="仿宋" w:hint="eastAsia"/>
                <w:sz w:val="24"/>
                <w:szCs w:val="24"/>
              </w:rPr>
              <w:t>正戊醛</w:t>
            </w:r>
          </w:p>
        </w:tc>
        <w:tc>
          <w:tcPr>
            <w:tcW w:w="860" w:type="pct"/>
            <w:vAlign w:val="center"/>
          </w:tcPr>
          <w:p w14:paraId="5691E6BE" w14:textId="77777777" w:rsidR="000E76B9" w:rsidRDefault="00A86600">
            <w:pPr>
              <w:snapToGrid w:val="0"/>
              <w:spacing w:line="260" w:lineRule="exact"/>
              <w:jc w:val="center"/>
              <w:rPr>
                <w:rFonts w:eastAsia="仿宋"/>
                <w:sz w:val="24"/>
                <w:szCs w:val="24"/>
              </w:rPr>
            </w:pPr>
            <w:r>
              <w:rPr>
                <w:rFonts w:eastAsia="仿宋" w:hint="eastAsia"/>
                <w:sz w:val="24"/>
                <w:szCs w:val="24"/>
              </w:rPr>
              <w:t>0.001576523</w:t>
            </w:r>
          </w:p>
        </w:tc>
        <w:tc>
          <w:tcPr>
            <w:tcW w:w="827" w:type="pct"/>
            <w:vAlign w:val="center"/>
          </w:tcPr>
          <w:p w14:paraId="364DDDF1"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c>
          <w:tcPr>
            <w:tcW w:w="828" w:type="pct"/>
            <w:vAlign w:val="center"/>
          </w:tcPr>
          <w:p w14:paraId="64483500"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c>
          <w:tcPr>
            <w:tcW w:w="828" w:type="pct"/>
            <w:vAlign w:val="center"/>
          </w:tcPr>
          <w:p w14:paraId="412621A8"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c>
          <w:tcPr>
            <w:tcW w:w="830" w:type="pct"/>
            <w:vAlign w:val="center"/>
          </w:tcPr>
          <w:p w14:paraId="6EE61002" w14:textId="77777777" w:rsidR="000E76B9" w:rsidRDefault="00A86600">
            <w:pPr>
              <w:snapToGrid w:val="0"/>
              <w:spacing w:line="260" w:lineRule="exact"/>
              <w:jc w:val="center"/>
              <w:rPr>
                <w:rFonts w:eastAsia="仿宋"/>
                <w:sz w:val="24"/>
                <w:szCs w:val="24"/>
              </w:rPr>
            </w:pPr>
            <w:r>
              <w:rPr>
                <w:rFonts w:eastAsia="仿宋" w:hint="eastAsia"/>
                <w:sz w:val="24"/>
                <w:szCs w:val="24"/>
              </w:rPr>
              <w:t>&lt;0.002</w:t>
            </w:r>
          </w:p>
        </w:tc>
      </w:tr>
      <w:tr w:rsidR="000E76B9" w14:paraId="07941733" w14:textId="77777777">
        <w:trPr>
          <w:trHeight w:val="454"/>
          <w:tblHeader/>
        </w:trPr>
        <w:tc>
          <w:tcPr>
            <w:tcW w:w="827" w:type="pct"/>
            <w:vAlign w:val="center"/>
          </w:tcPr>
          <w:p w14:paraId="40393C40" w14:textId="77777777" w:rsidR="000E76B9" w:rsidRDefault="00A86600">
            <w:pPr>
              <w:snapToGrid w:val="0"/>
              <w:spacing w:line="260" w:lineRule="exact"/>
              <w:jc w:val="center"/>
              <w:rPr>
                <w:rFonts w:eastAsia="仿宋"/>
                <w:sz w:val="24"/>
                <w:szCs w:val="24"/>
              </w:rPr>
            </w:pPr>
            <w:r>
              <w:rPr>
                <w:rFonts w:eastAsia="仿宋" w:hint="eastAsia"/>
                <w:sz w:val="24"/>
                <w:szCs w:val="24"/>
              </w:rPr>
              <w:t>甲基乙基酮</w:t>
            </w:r>
          </w:p>
        </w:tc>
        <w:tc>
          <w:tcPr>
            <w:tcW w:w="860" w:type="pct"/>
            <w:vAlign w:val="center"/>
          </w:tcPr>
          <w:p w14:paraId="6EC947CD" w14:textId="77777777" w:rsidR="000E76B9" w:rsidRDefault="00A86600">
            <w:pPr>
              <w:snapToGrid w:val="0"/>
              <w:spacing w:line="260" w:lineRule="exact"/>
              <w:jc w:val="center"/>
              <w:rPr>
                <w:rFonts w:eastAsia="仿宋"/>
                <w:sz w:val="24"/>
                <w:szCs w:val="24"/>
              </w:rPr>
            </w:pPr>
            <w:r>
              <w:rPr>
                <w:rFonts w:eastAsia="仿宋" w:hint="eastAsia"/>
                <w:sz w:val="24"/>
                <w:szCs w:val="24"/>
              </w:rPr>
              <w:t>1.41625</w:t>
            </w:r>
          </w:p>
        </w:tc>
        <w:tc>
          <w:tcPr>
            <w:tcW w:w="827" w:type="pct"/>
            <w:vAlign w:val="center"/>
          </w:tcPr>
          <w:p w14:paraId="3AD47A89" w14:textId="77777777" w:rsidR="000E76B9" w:rsidRDefault="00A86600">
            <w:pPr>
              <w:snapToGrid w:val="0"/>
              <w:spacing w:line="260" w:lineRule="exact"/>
              <w:jc w:val="center"/>
              <w:rPr>
                <w:rFonts w:eastAsia="仿宋"/>
                <w:sz w:val="24"/>
                <w:szCs w:val="24"/>
              </w:rPr>
            </w:pPr>
            <w:r>
              <w:rPr>
                <w:rFonts w:eastAsia="仿宋" w:hint="eastAsia"/>
                <w:sz w:val="24"/>
                <w:szCs w:val="24"/>
              </w:rPr>
              <w:t>0.13</w:t>
            </w:r>
          </w:p>
        </w:tc>
        <w:tc>
          <w:tcPr>
            <w:tcW w:w="828" w:type="pct"/>
            <w:vAlign w:val="center"/>
          </w:tcPr>
          <w:p w14:paraId="046DA560" w14:textId="77777777" w:rsidR="000E76B9" w:rsidRDefault="00A86600">
            <w:pPr>
              <w:snapToGrid w:val="0"/>
              <w:spacing w:line="260" w:lineRule="exact"/>
              <w:jc w:val="center"/>
              <w:rPr>
                <w:rFonts w:eastAsia="仿宋"/>
                <w:sz w:val="24"/>
                <w:szCs w:val="24"/>
              </w:rPr>
            </w:pPr>
            <w:r>
              <w:rPr>
                <w:rFonts w:eastAsia="仿宋" w:hint="eastAsia"/>
                <w:sz w:val="24"/>
                <w:szCs w:val="24"/>
              </w:rPr>
              <w:t>0.0842</w:t>
            </w:r>
          </w:p>
        </w:tc>
        <w:tc>
          <w:tcPr>
            <w:tcW w:w="828" w:type="pct"/>
            <w:vAlign w:val="center"/>
          </w:tcPr>
          <w:p w14:paraId="7D6E11EA" w14:textId="77777777" w:rsidR="000E76B9" w:rsidRDefault="00A86600">
            <w:pPr>
              <w:snapToGrid w:val="0"/>
              <w:spacing w:line="260" w:lineRule="exact"/>
              <w:jc w:val="center"/>
              <w:rPr>
                <w:rFonts w:eastAsia="仿宋"/>
                <w:sz w:val="24"/>
                <w:szCs w:val="24"/>
              </w:rPr>
            </w:pPr>
            <w:r>
              <w:rPr>
                <w:rFonts w:eastAsia="仿宋" w:hint="eastAsia"/>
                <w:sz w:val="24"/>
                <w:szCs w:val="24"/>
              </w:rPr>
              <w:t>0.00166</w:t>
            </w:r>
          </w:p>
        </w:tc>
        <w:tc>
          <w:tcPr>
            <w:tcW w:w="830" w:type="pct"/>
            <w:vAlign w:val="center"/>
          </w:tcPr>
          <w:p w14:paraId="02B22723" w14:textId="77777777" w:rsidR="000E76B9" w:rsidRDefault="00A86600">
            <w:pPr>
              <w:snapToGrid w:val="0"/>
              <w:spacing w:line="260" w:lineRule="exact"/>
              <w:jc w:val="center"/>
              <w:rPr>
                <w:rFonts w:eastAsia="仿宋"/>
                <w:sz w:val="24"/>
                <w:szCs w:val="24"/>
              </w:rPr>
            </w:pPr>
            <w:r>
              <w:rPr>
                <w:rFonts w:eastAsia="仿宋" w:hint="eastAsia"/>
                <w:sz w:val="24"/>
                <w:szCs w:val="24"/>
              </w:rPr>
              <w:t>0.0112</w:t>
            </w:r>
          </w:p>
        </w:tc>
      </w:tr>
      <w:tr w:rsidR="000E76B9" w14:paraId="31CBCABB" w14:textId="77777777">
        <w:trPr>
          <w:trHeight w:val="454"/>
          <w:tblHeader/>
        </w:trPr>
        <w:tc>
          <w:tcPr>
            <w:tcW w:w="827" w:type="pct"/>
            <w:vAlign w:val="center"/>
          </w:tcPr>
          <w:p w14:paraId="574ABCD2" w14:textId="77777777" w:rsidR="000E76B9" w:rsidRDefault="00A86600">
            <w:pPr>
              <w:snapToGrid w:val="0"/>
              <w:spacing w:line="260" w:lineRule="exact"/>
              <w:jc w:val="center"/>
              <w:rPr>
                <w:rFonts w:eastAsia="仿宋"/>
                <w:sz w:val="24"/>
                <w:szCs w:val="24"/>
              </w:rPr>
            </w:pPr>
            <w:r>
              <w:rPr>
                <w:rFonts w:eastAsia="仿宋" w:hint="eastAsia"/>
                <w:sz w:val="24"/>
                <w:szCs w:val="24"/>
              </w:rPr>
              <w:t>甲基异丁基酮</w:t>
            </w:r>
          </w:p>
        </w:tc>
        <w:tc>
          <w:tcPr>
            <w:tcW w:w="860" w:type="pct"/>
            <w:vAlign w:val="center"/>
          </w:tcPr>
          <w:p w14:paraId="693AA516" w14:textId="77777777" w:rsidR="000E76B9" w:rsidRDefault="00A86600">
            <w:pPr>
              <w:snapToGrid w:val="0"/>
              <w:spacing w:line="260" w:lineRule="exact"/>
              <w:jc w:val="center"/>
              <w:rPr>
                <w:rFonts w:eastAsia="仿宋"/>
                <w:sz w:val="24"/>
                <w:szCs w:val="24"/>
              </w:rPr>
            </w:pPr>
            <w:r>
              <w:rPr>
                <w:rFonts w:eastAsia="仿宋" w:hint="eastAsia"/>
                <w:sz w:val="24"/>
                <w:szCs w:val="24"/>
              </w:rPr>
              <w:t>0.760142857</w:t>
            </w:r>
          </w:p>
        </w:tc>
        <w:tc>
          <w:tcPr>
            <w:tcW w:w="827" w:type="pct"/>
            <w:vAlign w:val="center"/>
          </w:tcPr>
          <w:p w14:paraId="09DC21A0" w14:textId="77777777" w:rsidR="000E76B9" w:rsidRDefault="00A86600">
            <w:pPr>
              <w:snapToGrid w:val="0"/>
              <w:spacing w:line="260" w:lineRule="exact"/>
              <w:jc w:val="center"/>
              <w:rPr>
                <w:rFonts w:eastAsia="仿宋"/>
                <w:sz w:val="24"/>
                <w:szCs w:val="24"/>
              </w:rPr>
            </w:pPr>
            <w:r>
              <w:rPr>
                <w:rFonts w:eastAsia="仿宋" w:hint="eastAsia"/>
                <w:sz w:val="24"/>
                <w:szCs w:val="24"/>
              </w:rPr>
              <w:t>&lt;0.0006</w:t>
            </w:r>
          </w:p>
        </w:tc>
        <w:tc>
          <w:tcPr>
            <w:tcW w:w="828" w:type="pct"/>
            <w:vAlign w:val="center"/>
          </w:tcPr>
          <w:p w14:paraId="5D02A86D" w14:textId="77777777" w:rsidR="000E76B9" w:rsidRDefault="00A86600">
            <w:pPr>
              <w:snapToGrid w:val="0"/>
              <w:spacing w:line="260" w:lineRule="exact"/>
              <w:jc w:val="center"/>
              <w:rPr>
                <w:rFonts w:eastAsia="仿宋"/>
                <w:sz w:val="24"/>
                <w:szCs w:val="24"/>
              </w:rPr>
            </w:pPr>
            <w:r>
              <w:rPr>
                <w:rFonts w:eastAsia="仿宋" w:hint="eastAsia"/>
                <w:sz w:val="24"/>
                <w:szCs w:val="24"/>
              </w:rPr>
              <w:t>&lt;0.0006</w:t>
            </w:r>
          </w:p>
        </w:tc>
        <w:tc>
          <w:tcPr>
            <w:tcW w:w="828" w:type="pct"/>
            <w:vAlign w:val="center"/>
          </w:tcPr>
          <w:p w14:paraId="4A044B5E" w14:textId="77777777" w:rsidR="000E76B9" w:rsidRDefault="00A86600">
            <w:pPr>
              <w:snapToGrid w:val="0"/>
              <w:spacing w:line="260" w:lineRule="exact"/>
              <w:jc w:val="center"/>
              <w:rPr>
                <w:rFonts w:eastAsia="仿宋"/>
                <w:sz w:val="24"/>
                <w:szCs w:val="24"/>
              </w:rPr>
            </w:pPr>
            <w:r>
              <w:rPr>
                <w:rFonts w:eastAsia="仿宋" w:hint="eastAsia"/>
                <w:sz w:val="24"/>
                <w:szCs w:val="24"/>
              </w:rPr>
              <w:t>0.0011</w:t>
            </w:r>
          </w:p>
        </w:tc>
        <w:tc>
          <w:tcPr>
            <w:tcW w:w="830" w:type="pct"/>
            <w:vAlign w:val="center"/>
          </w:tcPr>
          <w:p w14:paraId="21CC32F6" w14:textId="77777777" w:rsidR="000E76B9" w:rsidRDefault="00A86600">
            <w:pPr>
              <w:snapToGrid w:val="0"/>
              <w:spacing w:line="260" w:lineRule="exact"/>
              <w:jc w:val="center"/>
              <w:rPr>
                <w:rFonts w:eastAsia="仿宋"/>
                <w:sz w:val="24"/>
                <w:szCs w:val="24"/>
              </w:rPr>
            </w:pPr>
            <w:r>
              <w:rPr>
                <w:rFonts w:eastAsia="仿宋" w:hint="eastAsia"/>
                <w:sz w:val="24"/>
                <w:szCs w:val="24"/>
              </w:rPr>
              <w:t>0.0417</w:t>
            </w:r>
          </w:p>
        </w:tc>
      </w:tr>
      <w:tr w:rsidR="000E76B9" w14:paraId="01EB3432" w14:textId="77777777">
        <w:trPr>
          <w:trHeight w:val="454"/>
          <w:tblHeader/>
        </w:trPr>
        <w:tc>
          <w:tcPr>
            <w:tcW w:w="827" w:type="pct"/>
            <w:vAlign w:val="center"/>
          </w:tcPr>
          <w:p w14:paraId="722D26B9" w14:textId="77777777" w:rsidR="000E76B9" w:rsidRDefault="00A86600">
            <w:pPr>
              <w:snapToGrid w:val="0"/>
              <w:spacing w:line="260" w:lineRule="exact"/>
              <w:jc w:val="center"/>
              <w:rPr>
                <w:rFonts w:eastAsia="仿宋"/>
                <w:sz w:val="24"/>
                <w:szCs w:val="24"/>
              </w:rPr>
            </w:pPr>
            <w:r>
              <w:rPr>
                <w:rFonts w:eastAsia="仿宋" w:hint="eastAsia"/>
                <w:sz w:val="24"/>
                <w:szCs w:val="24"/>
              </w:rPr>
              <w:t>丙烯酸</w:t>
            </w:r>
          </w:p>
        </w:tc>
        <w:tc>
          <w:tcPr>
            <w:tcW w:w="860" w:type="pct"/>
            <w:vAlign w:val="center"/>
          </w:tcPr>
          <w:p w14:paraId="4933694A" w14:textId="77777777" w:rsidR="000E76B9" w:rsidRDefault="00A86600">
            <w:pPr>
              <w:snapToGrid w:val="0"/>
              <w:spacing w:line="260" w:lineRule="exact"/>
              <w:jc w:val="center"/>
              <w:rPr>
                <w:rFonts w:eastAsia="仿宋"/>
                <w:sz w:val="24"/>
                <w:szCs w:val="24"/>
              </w:rPr>
            </w:pPr>
            <w:r>
              <w:rPr>
                <w:rFonts w:eastAsia="仿宋" w:hint="eastAsia"/>
                <w:sz w:val="24"/>
                <w:szCs w:val="24"/>
              </w:rPr>
              <w:t>0.295973036</w:t>
            </w:r>
          </w:p>
        </w:tc>
        <w:tc>
          <w:tcPr>
            <w:tcW w:w="827" w:type="pct"/>
            <w:vAlign w:val="center"/>
          </w:tcPr>
          <w:p w14:paraId="545B0CE1" w14:textId="77777777" w:rsidR="000E76B9" w:rsidRDefault="00A86600">
            <w:pPr>
              <w:snapToGrid w:val="0"/>
              <w:spacing w:line="260" w:lineRule="exact"/>
              <w:jc w:val="center"/>
              <w:rPr>
                <w:rFonts w:eastAsia="仿宋"/>
                <w:sz w:val="24"/>
                <w:szCs w:val="24"/>
              </w:rPr>
            </w:pPr>
            <w:r>
              <w:rPr>
                <w:rFonts w:eastAsia="仿宋" w:hint="eastAsia"/>
                <w:sz w:val="24"/>
                <w:szCs w:val="24"/>
              </w:rPr>
              <w:t>&lt;0. 4</w:t>
            </w:r>
          </w:p>
        </w:tc>
        <w:tc>
          <w:tcPr>
            <w:tcW w:w="828" w:type="pct"/>
            <w:vAlign w:val="center"/>
          </w:tcPr>
          <w:p w14:paraId="4409FB24" w14:textId="77777777" w:rsidR="000E76B9" w:rsidRDefault="00A86600">
            <w:pPr>
              <w:snapToGrid w:val="0"/>
              <w:spacing w:line="260" w:lineRule="exact"/>
              <w:jc w:val="center"/>
              <w:rPr>
                <w:rFonts w:eastAsia="仿宋"/>
                <w:sz w:val="24"/>
                <w:szCs w:val="24"/>
              </w:rPr>
            </w:pPr>
            <w:r>
              <w:rPr>
                <w:rFonts w:eastAsia="仿宋" w:hint="eastAsia"/>
                <w:sz w:val="24"/>
                <w:szCs w:val="24"/>
              </w:rPr>
              <w:t>&lt;0. 4</w:t>
            </w:r>
          </w:p>
        </w:tc>
        <w:tc>
          <w:tcPr>
            <w:tcW w:w="828" w:type="pct"/>
            <w:vAlign w:val="center"/>
          </w:tcPr>
          <w:p w14:paraId="4DF46107" w14:textId="77777777" w:rsidR="000E76B9" w:rsidRDefault="00A86600">
            <w:pPr>
              <w:snapToGrid w:val="0"/>
              <w:spacing w:line="260" w:lineRule="exact"/>
              <w:jc w:val="center"/>
              <w:rPr>
                <w:rFonts w:eastAsia="仿宋"/>
                <w:sz w:val="24"/>
                <w:szCs w:val="24"/>
              </w:rPr>
            </w:pPr>
            <w:r>
              <w:rPr>
                <w:rFonts w:eastAsia="仿宋" w:hint="eastAsia"/>
                <w:sz w:val="24"/>
                <w:szCs w:val="24"/>
              </w:rPr>
              <w:t>&lt;0. 4</w:t>
            </w:r>
          </w:p>
        </w:tc>
        <w:tc>
          <w:tcPr>
            <w:tcW w:w="830" w:type="pct"/>
            <w:vAlign w:val="center"/>
          </w:tcPr>
          <w:p w14:paraId="333B384A" w14:textId="77777777" w:rsidR="000E76B9" w:rsidRDefault="00A86600">
            <w:pPr>
              <w:snapToGrid w:val="0"/>
              <w:spacing w:line="260" w:lineRule="exact"/>
              <w:jc w:val="center"/>
              <w:rPr>
                <w:rFonts w:eastAsia="仿宋"/>
                <w:sz w:val="24"/>
                <w:szCs w:val="24"/>
              </w:rPr>
            </w:pPr>
            <w:r>
              <w:rPr>
                <w:rFonts w:eastAsia="仿宋" w:hint="eastAsia"/>
                <w:sz w:val="24"/>
                <w:szCs w:val="24"/>
              </w:rPr>
              <w:t>&lt;0. 4</w:t>
            </w:r>
          </w:p>
        </w:tc>
      </w:tr>
      <w:tr w:rsidR="000E76B9" w14:paraId="37496CEF" w14:textId="77777777">
        <w:trPr>
          <w:trHeight w:val="454"/>
          <w:tblHeader/>
        </w:trPr>
        <w:tc>
          <w:tcPr>
            <w:tcW w:w="827" w:type="pct"/>
            <w:vAlign w:val="center"/>
          </w:tcPr>
          <w:p w14:paraId="373E1651" w14:textId="77777777" w:rsidR="000E76B9" w:rsidRDefault="00A86600">
            <w:pPr>
              <w:snapToGrid w:val="0"/>
              <w:spacing w:line="260" w:lineRule="exact"/>
              <w:jc w:val="center"/>
              <w:rPr>
                <w:rFonts w:eastAsia="仿宋"/>
                <w:sz w:val="24"/>
                <w:szCs w:val="24"/>
              </w:rPr>
            </w:pPr>
            <w:r>
              <w:rPr>
                <w:rFonts w:eastAsia="仿宋" w:hint="eastAsia"/>
                <w:sz w:val="24"/>
                <w:szCs w:val="24"/>
              </w:rPr>
              <w:t>丙烯酸甲酯</w:t>
            </w:r>
          </w:p>
        </w:tc>
        <w:tc>
          <w:tcPr>
            <w:tcW w:w="860" w:type="pct"/>
            <w:vAlign w:val="center"/>
          </w:tcPr>
          <w:p w14:paraId="63EAE516" w14:textId="77777777" w:rsidR="000E76B9" w:rsidRDefault="00A86600">
            <w:pPr>
              <w:snapToGrid w:val="0"/>
              <w:spacing w:line="260" w:lineRule="exact"/>
              <w:jc w:val="center"/>
              <w:rPr>
                <w:rFonts w:eastAsia="仿宋"/>
                <w:sz w:val="24"/>
                <w:szCs w:val="24"/>
              </w:rPr>
            </w:pPr>
            <w:r>
              <w:rPr>
                <w:rFonts w:eastAsia="仿宋" w:hint="eastAsia"/>
                <w:sz w:val="24"/>
                <w:szCs w:val="24"/>
              </w:rPr>
              <w:t>0.011529777</w:t>
            </w:r>
          </w:p>
        </w:tc>
        <w:tc>
          <w:tcPr>
            <w:tcW w:w="827" w:type="pct"/>
            <w:vAlign w:val="center"/>
          </w:tcPr>
          <w:p w14:paraId="45636EA9" w14:textId="77777777" w:rsidR="000E76B9" w:rsidRDefault="00A86600">
            <w:pPr>
              <w:snapToGrid w:val="0"/>
              <w:spacing w:line="260" w:lineRule="exact"/>
              <w:jc w:val="center"/>
              <w:rPr>
                <w:rFonts w:eastAsia="仿宋"/>
                <w:sz w:val="24"/>
                <w:szCs w:val="24"/>
              </w:rPr>
            </w:pPr>
            <w:r>
              <w:rPr>
                <w:rFonts w:eastAsia="仿宋" w:hint="eastAsia"/>
                <w:sz w:val="24"/>
                <w:szCs w:val="24"/>
              </w:rPr>
              <w:t>&lt;0. 5</w:t>
            </w:r>
          </w:p>
        </w:tc>
        <w:tc>
          <w:tcPr>
            <w:tcW w:w="828" w:type="pct"/>
            <w:vAlign w:val="center"/>
          </w:tcPr>
          <w:p w14:paraId="129911EE" w14:textId="77777777" w:rsidR="000E76B9" w:rsidRDefault="00A86600">
            <w:pPr>
              <w:snapToGrid w:val="0"/>
              <w:spacing w:line="260" w:lineRule="exact"/>
              <w:jc w:val="center"/>
              <w:rPr>
                <w:rFonts w:eastAsia="仿宋"/>
                <w:sz w:val="24"/>
                <w:szCs w:val="24"/>
              </w:rPr>
            </w:pPr>
            <w:r>
              <w:rPr>
                <w:rFonts w:eastAsia="仿宋" w:hint="eastAsia"/>
                <w:sz w:val="24"/>
                <w:szCs w:val="24"/>
              </w:rPr>
              <w:t>&lt;0. 5</w:t>
            </w:r>
          </w:p>
        </w:tc>
        <w:tc>
          <w:tcPr>
            <w:tcW w:w="828" w:type="pct"/>
            <w:vAlign w:val="center"/>
          </w:tcPr>
          <w:p w14:paraId="15518459" w14:textId="77777777" w:rsidR="000E76B9" w:rsidRDefault="00A86600">
            <w:pPr>
              <w:snapToGrid w:val="0"/>
              <w:spacing w:line="260" w:lineRule="exact"/>
              <w:jc w:val="center"/>
              <w:rPr>
                <w:rFonts w:eastAsia="仿宋"/>
                <w:sz w:val="24"/>
                <w:szCs w:val="24"/>
              </w:rPr>
            </w:pPr>
            <w:r>
              <w:rPr>
                <w:rFonts w:eastAsia="仿宋" w:hint="eastAsia"/>
                <w:sz w:val="24"/>
                <w:szCs w:val="24"/>
              </w:rPr>
              <w:t>&lt;0. 5</w:t>
            </w:r>
          </w:p>
        </w:tc>
        <w:tc>
          <w:tcPr>
            <w:tcW w:w="830" w:type="pct"/>
            <w:vAlign w:val="center"/>
          </w:tcPr>
          <w:p w14:paraId="734EF63D" w14:textId="77777777" w:rsidR="000E76B9" w:rsidRDefault="00A86600">
            <w:pPr>
              <w:snapToGrid w:val="0"/>
              <w:spacing w:line="260" w:lineRule="exact"/>
              <w:jc w:val="center"/>
              <w:rPr>
                <w:rFonts w:eastAsia="仿宋"/>
                <w:sz w:val="24"/>
                <w:szCs w:val="24"/>
              </w:rPr>
            </w:pPr>
            <w:r>
              <w:rPr>
                <w:rFonts w:eastAsia="仿宋" w:hint="eastAsia"/>
                <w:sz w:val="24"/>
                <w:szCs w:val="24"/>
              </w:rPr>
              <w:t>&lt;0. 5</w:t>
            </w:r>
          </w:p>
        </w:tc>
      </w:tr>
      <w:tr w:rsidR="000E76B9" w14:paraId="4544222F" w14:textId="77777777">
        <w:trPr>
          <w:trHeight w:val="454"/>
          <w:tblHeader/>
        </w:trPr>
        <w:tc>
          <w:tcPr>
            <w:tcW w:w="827" w:type="pct"/>
            <w:vAlign w:val="center"/>
          </w:tcPr>
          <w:p w14:paraId="16E4E086" w14:textId="77777777" w:rsidR="000E76B9" w:rsidRDefault="00A86600">
            <w:pPr>
              <w:snapToGrid w:val="0"/>
              <w:spacing w:line="260" w:lineRule="exact"/>
              <w:jc w:val="center"/>
              <w:rPr>
                <w:rFonts w:eastAsia="仿宋"/>
                <w:sz w:val="24"/>
                <w:szCs w:val="24"/>
              </w:rPr>
            </w:pPr>
            <w:r>
              <w:rPr>
                <w:rFonts w:eastAsia="仿宋" w:hint="eastAsia"/>
                <w:sz w:val="24"/>
                <w:szCs w:val="24"/>
              </w:rPr>
              <w:t>丙烯酸乙酯</w:t>
            </w:r>
          </w:p>
        </w:tc>
        <w:tc>
          <w:tcPr>
            <w:tcW w:w="860" w:type="pct"/>
            <w:vAlign w:val="center"/>
          </w:tcPr>
          <w:p w14:paraId="65862408" w14:textId="77777777" w:rsidR="000E76B9" w:rsidRDefault="00A86600">
            <w:pPr>
              <w:snapToGrid w:val="0"/>
              <w:spacing w:line="260" w:lineRule="exact"/>
              <w:jc w:val="center"/>
              <w:rPr>
                <w:rFonts w:eastAsia="仿宋"/>
                <w:sz w:val="24"/>
                <w:szCs w:val="24"/>
              </w:rPr>
            </w:pPr>
            <w:r>
              <w:rPr>
                <w:rFonts w:eastAsia="仿宋" w:hint="eastAsia"/>
                <w:sz w:val="24"/>
                <w:szCs w:val="24"/>
              </w:rPr>
              <w:t>0.000893893</w:t>
            </w:r>
          </w:p>
        </w:tc>
        <w:tc>
          <w:tcPr>
            <w:tcW w:w="827" w:type="pct"/>
            <w:vAlign w:val="center"/>
          </w:tcPr>
          <w:p w14:paraId="66213F50" w14:textId="77777777" w:rsidR="000E76B9" w:rsidRDefault="00A86600">
            <w:pPr>
              <w:snapToGrid w:val="0"/>
              <w:spacing w:line="260" w:lineRule="exact"/>
              <w:jc w:val="center"/>
              <w:rPr>
                <w:rFonts w:eastAsia="仿宋"/>
                <w:sz w:val="24"/>
                <w:szCs w:val="24"/>
              </w:rPr>
            </w:pPr>
            <w:r>
              <w:rPr>
                <w:rFonts w:eastAsia="仿宋" w:hint="eastAsia"/>
                <w:sz w:val="24"/>
                <w:szCs w:val="24"/>
              </w:rPr>
              <w:t>&lt;0. 3</w:t>
            </w:r>
          </w:p>
        </w:tc>
        <w:tc>
          <w:tcPr>
            <w:tcW w:w="828" w:type="pct"/>
            <w:vAlign w:val="center"/>
          </w:tcPr>
          <w:p w14:paraId="2486DC4C" w14:textId="77777777" w:rsidR="000E76B9" w:rsidRDefault="00A86600">
            <w:pPr>
              <w:snapToGrid w:val="0"/>
              <w:spacing w:line="260" w:lineRule="exact"/>
              <w:jc w:val="center"/>
              <w:rPr>
                <w:rFonts w:eastAsia="仿宋"/>
                <w:sz w:val="24"/>
                <w:szCs w:val="24"/>
              </w:rPr>
            </w:pPr>
            <w:r>
              <w:rPr>
                <w:rFonts w:eastAsia="仿宋" w:hint="eastAsia"/>
                <w:sz w:val="24"/>
                <w:szCs w:val="24"/>
              </w:rPr>
              <w:t>&lt;0. 3</w:t>
            </w:r>
          </w:p>
        </w:tc>
        <w:tc>
          <w:tcPr>
            <w:tcW w:w="828" w:type="pct"/>
            <w:vAlign w:val="center"/>
          </w:tcPr>
          <w:p w14:paraId="64BE093A" w14:textId="77777777" w:rsidR="000E76B9" w:rsidRDefault="00A86600">
            <w:pPr>
              <w:snapToGrid w:val="0"/>
              <w:spacing w:line="260" w:lineRule="exact"/>
              <w:jc w:val="center"/>
              <w:rPr>
                <w:rFonts w:eastAsia="仿宋"/>
                <w:sz w:val="24"/>
                <w:szCs w:val="24"/>
              </w:rPr>
            </w:pPr>
            <w:r>
              <w:rPr>
                <w:rFonts w:eastAsia="仿宋" w:hint="eastAsia"/>
                <w:sz w:val="24"/>
                <w:szCs w:val="24"/>
              </w:rPr>
              <w:t>&lt;0. 3</w:t>
            </w:r>
          </w:p>
        </w:tc>
        <w:tc>
          <w:tcPr>
            <w:tcW w:w="830" w:type="pct"/>
            <w:vAlign w:val="center"/>
          </w:tcPr>
          <w:p w14:paraId="6974EA0F" w14:textId="77777777" w:rsidR="000E76B9" w:rsidRDefault="00A86600">
            <w:pPr>
              <w:snapToGrid w:val="0"/>
              <w:spacing w:line="260" w:lineRule="exact"/>
              <w:jc w:val="center"/>
              <w:rPr>
                <w:rFonts w:eastAsia="仿宋"/>
                <w:sz w:val="24"/>
                <w:szCs w:val="24"/>
              </w:rPr>
            </w:pPr>
            <w:r>
              <w:rPr>
                <w:rFonts w:eastAsia="仿宋" w:hint="eastAsia"/>
                <w:sz w:val="24"/>
                <w:szCs w:val="24"/>
              </w:rPr>
              <w:t>&lt;0. 3</w:t>
            </w:r>
          </w:p>
        </w:tc>
      </w:tr>
      <w:tr w:rsidR="000E76B9" w14:paraId="059A2526" w14:textId="77777777">
        <w:trPr>
          <w:trHeight w:val="454"/>
          <w:tblHeader/>
        </w:trPr>
        <w:tc>
          <w:tcPr>
            <w:tcW w:w="827" w:type="pct"/>
            <w:vAlign w:val="center"/>
          </w:tcPr>
          <w:p w14:paraId="61E02BA8" w14:textId="77777777" w:rsidR="000E76B9" w:rsidRDefault="00A86600">
            <w:pPr>
              <w:snapToGrid w:val="0"/>
              <w:spacing w:line="260" w:lineRule="exact"/>
              <w:jc w:val="center"/>
              <w:rPr>
                <w:rFonts w:eastAsia="仿宋"/>
                <w:sz w:val="24"/>
                <w:szCs w:val="24"/>
              </w:rPr>
            </w:pPr>
            <w:r>
              <w:rPr>
                <w:rFonts w:eastAsia="仿宋" w:hint="eastAsia"/>
                <w:sz w:val="24"/>
                <w:szCs w:val="24"/>
              </w:rPr>
              <w:t>甲基丙烯酸甲酯</w:t>
            </w:r>
          </w:p>
        </w:tc>
        <w:tc>
          <w:tcPr>
            <w:tcW w:w="860" w:type="pct"/>
            <w:vAlign w:val="center"/>
          </w:tcPr>
          <w:p w14:paraId="6FF7A9EA" w14:textId="77777777" w:rsidR="000E76B9" w:rsidRDefault="00A86600">
            <w:pPr>
              <w:snapToGrid w:val="0"/>
              <w:spacing w:line="260" w:lineRule="exact"/>
              <w:jc w:val="center"/>
              <w:rPr>
                <w:rFonts w:eastAsia="仿宋"/>
                <w:sz w:val="24"/>
                <w:szCs w:val="24"/>
              </w:rPr>
            </w:pPr>
            <w:r>
              <w:rPr>
                <w:rFonts w:eastAsia="仿宋" w:hint="eastAsia"/>
                <w:sz w:val="24"/>
                <w:szCs w:val="24"/>
              </w:rPr>
              <w:t>0.9385875</w:t>
            </w:r>
          </w:p>
        </w:tc>
        <w:tc>
          <w:tcPr>
            <w:tcW w:w="827" w:type="pct"/>
            <w:vAlign w:val="center"/>
          </w:tcPr>
          <w:p w14:paraId="0B3E66B4" w14:textId="77777777" w:rsidR="000E76B9" w:rsidRDefault="00A86600">
            <w:pPr>
              <w:snapToGrid w:val="0"/>
              <w:spacing w:line="260" w:lineRule="exact"/>
              <w:jc w:val="center"/>
              <w:rPr>
                <w:rFonts w:eastAsia="仿宋"/>
                <w:sz w:val="24"/>
                <w:szCs w:val="24"/>
              </w:rPr>
            </w:pPr>
            <w:r>
              <w:rPr>
                <w:rFonts w:eastAsia="仿宋" w:hint="eastAsia"/>
                <w:sz w:val="24"/>
                <w:szCs w:val="24"/>
              </w:rPr>
              <w:t>&lt;0. 0005</w:t>
            </w:r>
          </w:p>
        </w:tc>
        <w:tc>
          <w:tcPr>
            <w:tcW w:w="828" w:type="pct"/>
            <w:vAlign w:val="center"/>
          </w:tcPr>
          <w:p w14:paraId="73F6C20E" w14:textId="77777777" w:rsidR="000E76B9" w:rsidRDefault="00A86600">
            <w:pPr>
              <w:snapToGrid w:val="0"/>
              <w:spacing w:line="260" w:lineRule="exact"/>
              <w:jc w:val="center"/>
              <w:rPr>
                <w:rFonts w:eastAsia="仿宋"/>
                <w:sz w:val="24"/>
                <w:szCs w:val="24"/>
              </w:rPr>
            </w:pPr>
            <w:r>
              <w:rPr>
                <w:rFonts w:eastAsia="仿宋" w:hint="eastAsia"/>
                <w:sz w:val="24"/>
                <w:szCs w:val="24"/>
              </w:rPr>
              <w:t>&lt;0. 0005</w:t>
            </w:r>
          </w:p>
        </w:tc>
        <w:tc>
          <w:tcPr>
            <w:tcW w:w="828" w:type="pct"/>
            <w:vAlign w:val="center"/>
          </w:tcPr>
          <w:p w14:paraId="5C7F9BE7" w14:textId="77777777" w:rsidR="000E76B9" w:rsidRDefault="00A86600">
            <w:pPr>
              <w:snapToGrid w:val="0"/>
              <w:spacing w:line="260" w:lineRule="exact"/>
              <w:jc w:val="center"/>
              <w:rPr>
                <w:rFonts w:eastAsia="仿宋"/>
                <w:sz w:val="24"/>
                <w:szCs w:val="24"/>
              </w:rPr>
            </w:pPr>
            <w:r>
              <w:rPr>
                <w:rFonts w:eastAsia="仿宋" w:hint="eastAsia"/>
                <w:sz w:val="24"/>
                <w:szCs w:val="24"/>
              </w:rPr>
              <w:t>&lt;0. 0005</w:t>
            </w:r>
          </w:p>
        </w:tc>
        <w:tc>
          <w:tcPr>
            <w:tcW w:w="830" w:type="pct"/>
            <w:vAlign w:val="center"/>
          </w:tcPr>
          <w:p w14:paraId="268CE0D5" w14:textId="77777777" w:rsidR="000E76B9" w:rsidRDefault="00A86600">
            <w:pPr>
              <w:snapToGrid w:val="0"/>
              <w:spacing w:line="260" w:lineRule="exact"/>
              <w:jc w:val="center"/>
              <w:rPr>
                <w:rFonts w:eastAsia="仿宋"/>
                <w:sz w:val="24"/>
                <w:szCs w:val="24"/>
              </w:rPr>
            </w:pPr>
            <w:r>
              <w:rPr>
                <w:rFonts w:eastAsia="仿宋" w:hint="eastAsia"/>
                <w:sz w:val="24"/>
                <w:szCs w:val="24"/>
              </w:rPr>
              <w:t>&lt;0. 0005</w:t>
            </w:r>
          </w:p>
        </w:tc>
      </w:tr>
      <w:tr w:rsidR="000E76B9" w14:paraId="2D4E265B" w14:textId="77777777">
        <w:trPr>
          <w:trHeight w:val="454"/>
          <w:tblHeader/>
        </w:trPr>
        <w:tc>
          <w:tcPr>
            <w:tcW w:w="827" w:type="pct"/>
            <w:vAlign w:val="center"/>
          </w:tcPr>
          <w:p w14:paraId="058FC726" w14:textId="77777777" w:rsidR="000E76B9" w:rsidRDefault="00A86600">
            <w:pPr>
              <w:snapToGrid w:val="0"/>
              <w:spacing w:line="260" w:lineRule="exact"/>
              <w:jc w:val="center"/>
              <w:rPr>
                <w:rFonts w:eastAsia="仿宋"/>
                <w:sz w:val="24"/>
                <w:szCs w:val="24"/>
              </w:rPr>
            </w:pPr>
            <w:r>
              <w:rPr>
                <w:rFonts w:eastAsia="仿宋" w:hint="eastAsia"/>
                <w:sz w:val="24"/>
                <w:szCs w:val="24"/>
              </w:rPr>
              <w:t>一甲胺</w:t>
            </w:r>
          </w:p>
        </w:tc>
        <w:tc>
          <w:tcPr>
            <w:tcW w:w="860" w:type="pct"/>
            <w:vAlign w:val="center"/>
          </w:tcPr>
          <w:p w14:paraId="77D7B3F3" w14:textId="77777777" w:rsidR="000E76B9" w:rsidRDefault="00A86600">
            <w:pPr>
              <w:snapToGrid w:val="0"/>
              <w:spacing w:line="260" w:lineRule="exact"/>
              <w:jc w:val="center"/>
              <w:rPr>
                <w:rFonts w:eastAsia="仿宋"/>
                <w:sz w:val="24"/>
                <w:szCs w:val="24"/>
              </w:rPr>
            </w:pPr>
            <w:r>
              <w:rPr>
                <w:rFonts w:eastAsia="仿宋" w:hint="eastAsia"/>
                <w:sz w:val="24"/>
                <w:szCs w:val="24"/>
              </w:rPr>
              <w:t>0.04859375</w:t>
            </w:r>
          </w:p>
        </w:tc>
        <w:tc>
          <w:tcPr>
            <w:tcW w:w="827" w:type="pct"/>
            <w:vAlign w:val="center"/>
          </w:tcPr>
          <w:p w14:paraId="291F657E" w14:textId="77777777" w:rsidR="000E76B9" w:rsidRDefault="00A86600">
            <w:pPr>
              <w:snapToGrid w:val="0"/>
              <w:spacing w:line="260" w:lineRule="exact"/>
              <w:jc w:val="center"/>
              <w:rPr>
                <w:rFonts w:eastAsia="仿宋"/>
                <w:sz w:val="24"/>
                <w:szCs w:val="24"/>
              </w:rPr>
            </w:pPr>
            <w:r>
              <w:rPr>
                <w:rFonts w:eastAsia="仿宋" w:hint="eastAsia"/>
                <w:sz w:val="24"/>
                <w:szCs w:val="24"/>
              </w:rPr>
              <w:t>&lt;0. 009</w:t>
            </w:r>
          </w:p>
        </w:tc>
        <w:tc>
          <w:tcPr>
            <w:tcW w:w="828" w:type="pct"/>
            <w:vAlign w:val="center"/>
          </w:tcPr>
          <w:p w14:paraId="34856220" w14:textId="77777777" w:rsidR="000E76B9" w:rsidRDefault="00A86600">
            <w:pPr>
              <w:snapToGrid w:val="0"/>
              <w:spacing w:line="260" w:lineRule="exact"/>
              <w:jc w:val="center"/>
              <w:rPr>
                <w:rFonts w:eastAsia="仿宋"/>
                <w:sz w:val="24"/>
                <w:szCs w:val="24"/>
              </w:rPr>
            </w:pPr>
            <w:r>
              <w:rPr>
                <w:rFonts w:eastAsia="仿宋" w:hint="eastAsia"/>
                <w:sz w:val="24"/>
                <w:szCs w:val="24"/>
              </w:rPr>
              <w:t>&lt;0. 009</w:t>
            </w:r>
          </w:p>
        </w:tc>
        <w:tc>
          <w:tcPr>
            <w:tcW w:w="828" w:type="pct"/>
            <w:vAlign w:val="center"/>
          </w:tcPr>
          <w:p w14:paraId="7C1226CF" w14:textId="77777777" w:rsidR="000E76B9" w:rsidRDefault="00A86600">
            <w:pPr>
              <w:snapToGrid w:val="0"/>
              <w:spacing w:line="260" w:lineRule="exact"/>
              <w:jc w:val="center"/>
              <w:rPr>
                <w:rFonts w:eastAsia="仿宋"/>
                <w:sz w:val="24"/>
                <w:szCs w:val="24"/>
              </w:rPr>
            </w:pPr>
            <w:r>
              <w:rPr>
                <w:rFonts w:eastAsia="仿宋" w:hint="eastAsia"/>
                <w:sz w:val="24"/>
                <w:szCs w:val="24"/>
              </w:rPr>
              <w:t>&lt;0. 009</w:t>
            </w:r>
          </w:p>
        </w:tc>
        <w:tc>
          <w:tcPr>
            <w:tcW w:w="830" w:type="pct"/>
            <w:vAlign w:val="center"/>
          </w:tcPr>
          <w:p w14:paraId="5F67D473" w14:textId="77777777" w:rsidR="000E76B9" w:rsidRDefault="00A86600">
            <w:pPr>
              <w:snapToGrid w:val="0"/>
              <w:spacing w:line="260" w:lineRule="exact"/>
              <w:jc w:val="center"/>
              <w:rPr>
                <w:rFonts w:eastAsia="仿宋"/>
                <w:sz w:val="24"/>
                <w:szCs w:val="24"/>
              </w:rPr>
            </w:pPr>
            <w:r>
              <w:rPr>
                <w:rFonts w:eastAsia="仿宋" w:hint="eastAsia"/>
                <w:sz w:val="24"/>
                <w:szCs w:val="24"/>
              </w:rPr>
              <w:t>&lt;0. 009</w:t>
            </w:r>
          </w:p>
        </w:tc>
      </w:tr>
      <w:tr w:rsidR="000E76B9" w14:paraId="1587E898" w14:textId="77777777">
        <w:trPr>
          <w:trHeight w:val="454"/>
          <w:tblHeader/>
        </w:trPr>
        <w:tc>
          <w:tcPr>
            <w:tcW w:w="827" w:type="pct"/>
            <w:vAlign w:val="center"/>
          </w:tcPr>
          <w:p w14:paraId="2A223E16" w14:textId="77777777" w:rsidR="000E76B9" w:rsidRDefault="00A86600">
            <w:pPr>
              <w:snapToGrid w:val="0"/>
              <w:spacing w:line="260" w:lineRule="exact"/>
              <w:jc w:val="center"/>
              <w:rPr>
                <w:rFonts w:eastAsia="仿宋"/>
                <w:sz w:val="24"/>
                <w:szCs w:val="24"/>
              </w:rPr>
            </w:pPr>
            <w:r>
              <w:rPr>
                <w:rFonts w:eastAsia="仿宋" w:hint="eastAsia"/>
                <w:sz w:val="24"/>
                <w:szCs w:val="24"/>
              </w:rPr>
              <w:t>二甲胺</w:t>
            </w:r>
          </w:p>
        </w:tc>
        <w:tc>
          <w:tcPr>
            <w:tcW w:w="860" w:type="pct"/>
            <w:vAlign w:val="center"/>
          </w:tcPr>
          <w:p w14:paraId="7EB4A156" w14:textId="77777777" w:rsidR="000E76B9" w:rsidRDefault="00A86600">
            <w:pPr>
              <w:snapToGrid w:val="0"/>
              <w:spacing w:line="260" w:lineRule="exact"/>
              <w:jc w:val="center"/>
              <w:rPr>
                <w:rFonts w:eastAsia="仿宋"/>
                <w:sz w:val="24"/>
                <w:szCs w:val="24"/>
              </w:rPr>
            </w:pPr>
            <w:r>
              <w:rPr>
                <w:rFonts w:eastAsia="仿宋" w:hint="eastAsia"/>
                <w:sz w:val="24"/>
                <w:szCs w:val="24"/>
              </w:rPr>
              <w:t>0.066418393</w:t>
            </w:r>
          </w:p>
        </w:tc>
        <w:tc>
          <w:tcPr>
            <w:tcW w:w="827" w:type="pct"/>
            <w:vAlign w:val="center"/>
          </w:tcPr>
          <w:p w14:paraId="729E6E27" w14:textId="77777777" w:rsidR="000E76B9" w:rsidRDefault="00A86600">
            <w:pPr>
              <w:snapToGrid w:val="0"/>
              <w:spacing w:line="260" w:lineRule="exact"/>
              <w:jc w:val="center"/>
              <w:rPr>
                <w:rFonts w:eastAsia="仿宋"/>
                <w:sz w:val="24"/>
                <w:szCs w:val="24"/>
              </w:rPr>
            </w:pPr>
            <w:r>
              <w:rPr>
                <w:rFonts w:eastAsia="仿宋" w:hint="eastAsia"/>
                <w:sz w:val="24"/>
                <w:szCs w:val="24"/>
              </w:rPr>
              <w:t>&lt;0. 009</w:t>
            </w:r>
          </w:p>
        </w:tc>
        <w:tc>
          <w:tcPr>
            <w:tcW w:w="828" w:type="pct"/>
            <w:vAlign w:val="center"/>
          </w:tcPr>
          <w:p w14:paraId="42F4CF92" w14:textId="77777777" w:rsidR="000E76B9" w:rsidRDefault="00A86600">
            <w:pPr>
              <w:snapToGrid w:val="0"/>
              <w:spacing w:line="260" w:lineRule="exact"/>
              <w:jc w:val="center"/>
              <w:rPr>
                <w:rFonts w:eastAsia="仿宋"/>
                <w:sz w:val="24"/>
                <w:szCs w:val="24"/>
              </w:rPr>
            </w:pPr>
            <w:r>
              <w:rPr>
                <w:rFonts w:eastAsia="仿宋" w:hint="eastAsia"/>
                <w:sz w:val="24"/>
                <w:szCs w:val="24"/>
              </w:rPr>
              <w:t>&lt;0. 009</w:t>
            </w:r>
          </w:p>
        </w:tc>
        <w:tc>
          <w:tcPr>
            <w:tcW w:w="828" w:type="pct"/>
            <w:vAlign w:val="center"/>
          </w:tcPr>
          <w:p w14:paraId="44CBE230" w14:textId="77777777" w:rsidR="000E76B9" w:rsidRDefault="00A86600">
            <w:pPr>
              <w:snapToGrid w:val="0"/>
              <w:spacing w:line="260" w:lineRule="exact"/>
              <w:jc w:val="center"/>
              <w:rPr>
                <w:rFonts w:eastAsia="仿宋"/>
                <w:sz w:val="24"/>
                <w:szCs w:val="24"/>
              </w:rPr>
            </w:pPr>
            <w:r>
              <w:rPr>
                <w:rFonts w:eastAsia="仿宋" w:hint="eastAsia"/>
                <w:sz w:val="24"/>
                <w:szCs w:val="24"/>
              </w:rPr>
              <w:t>&lt;0. 009</w:t>
            </w:r>
          </w:p>
        </w:tc>
        <w:tc>
          <w:tcPr>
            <w:tcW w:w="830" w:type="pct"/>
            <w:vAlign w:val="center"/>
          </w:tcPr>
          <w:p w14:paraId="5CB13695" w14:textId="77777777" w:rsidR="000E76B9" w:rsidRDefault="00A86600">
            <w:pPr>
              <w:snapToGrid w:val="0"/>
              <w:spacing w:line="260" w:lineRule="exact"/>
              <w:jc w:val="center"/>
              <w:rPr>
                <w:rFonts w:eastAsia="仿宋"/>
                <w:sz w:val="24"/>
                <w:szCs w:val="24"/>
              </w:rPr>
            </w:pPr>
            <w:r>
              <w:rPr>
                <w:rFonts w:eastAsia="仿宋" w:hint="eastAsia"/>
                <w:sz w:val="24"/>
                <w:szCs w:val="24"/>
              </w:rPr>
              <w:t>&lt;0. 009</w:t>
            </w:r>
          </w:p>
        </w:tc>
      </w:tr>
      <w:tr w:rsidR="000E76B9" w14:paraId="3EDED18B" w14:textId="77777777">
        <w:trPr>
          <w:trHeight w:val="454"/>
          <w:tblHeader/>
        </w:trPr>
        <w:tc>
          <w:tcPr>
            <w:tcW w:w="827" w:type="pct"/>
            <w:vAlign w:val="center"/>
          </w:tcPr>
          <w:p w14:paraId="19F2C95E" w14:textId="77777777" w:rsidR="000E76B9" w:rsidRDefault="00A86600">
            <w:pPr>
              <w:snapToGrid w:val="0"/>
              <w:spacing w:line="260" w:lineRule="exact"/>
              <w:jc w:val="center"/>
              <w:rPr>
                <w:rFonts w:eastAsia="仿宋"/>
                <w:sz w:val="24"/>
                <w:szCs w:val="24"/>
              </w:rPr>
            </w:pPr>
            <w:r>
              <w:rPr>
                <w:rFonts w:eastAsia="仿宋" w:hint="eastAsia"/>
                <w:sz w:val="24"/>
                <w:szCs w:val="24"/>
              </w:rPr>
              <w:t>三甲胺</w:t>
            </w:r>
          </w:p>
        </w:tc>
        <w:tc>
          <w:tcPr>
            <w:tcW w:w="860" w:type="pct"/>
            <w:vAlign w:val="center"/>
          </w:tcPr>
          <w:p w14:paraId="1223CCD4" w14:textId="77777777" w:rsidR="000E76B9" w:rsidRDefault="00A86600">
            <w:pPr>
              <w:snapToGrid w:val="0"/>
              <w:spacing w:line="260" w:lineRule="exact"/>
              <w:jc w:val="center"/>
              <w:rPr>
                <w:rFonts w:eastAsia="仿宋"/>
                <w:sz w:val="24"/>
                <w:szCs w:val="24"/>
              </w:rPr>
            </w:pPr>
            <w:r>
              <w:rPr>
                <w:rFonts w:eastAsia="仿宋" w:hint="eastAsia"/>
                <w:sz w:val="24"/>
                <w:szCs w:val="24"/>
              </w:rPr>
              <w:t>8.44429E-05</w:t>
            </w:r>
          </w:p>
        </w:tc>
        <w:tc>
          <w:tcPr>
            <w:tcW w:w="827" w:type="pct"/>
            <w:vAlign w:val="center"/>
          </w:tcPr>
          <w:p w14:paraId="0275A4E8" w14:textId="77777777" w:rsidR="000E76B9" w:rsidRDefault="00A86600">
            <w:pPr>
              <w:snapToGrid w:val="0"/>
              <w:spacing w:line="260" w:lineRule="exact"/>
              <w:jc w:val="center"/>
              <w:rPr>
                <w:rFonts w:eastAsia="仿宋"/>
                <w:sz w:val="24"/>
                <w:szCs w:val="24"/>
              </w:rPr>
            </w:pPr>
            <w:r>
              <w:rPr>
                <w:rFonts w:eastAsia="仿宋" w:hint="eastAsia"/>
                <w:sz w:val="24"/>
                <w:szCs w:val="24"/>
              </w:rPr>
              <w:t>&lt;0. 007</w:t>
            </w:r>
          </w:p>
        </w:tc>
        <w:tc>
          <w:tcPr>
            <w:tcW w:w="828" w:type="pct"/>
            <w:vAlign w:val="center"/>
          </w:tcPr>
          <w:p w14:paraId="7643FB1F" w14:textId="77777777" w:rsidR="000E76B9" w:rsidRDefault="00A86600">
            <w:pPr>
              <w:snapToGrid w:val="0"/>
              <w:spacing w:line="260" w:lineRule="exact"/>
              <w:jc w:val="center"/>
              <w:rPr>
                <w:rFonts w:eastAsia="仿宋"/>
                <w:sz w:val="24"/>
                <w:szCs w:val="24"/>
              </w:rPr>
            </w:pPr>
            <w:r>
              <w:rPr>
                <w:rFonts w:eastAsia="仿宋" w:hint="eastAsia"/>
                <w:sz w:val="24"/>
                <w:szCs w:val="24"/>
              </w:rPr>
              <w:t>&lt;0. 007</w:t>
            </w:r>
          </w:p>
        </w:tc>
        <w:tc>
          <w:tcPr>
            <w:tcW w:w="828" w:type="pct"/>
            <w:vAlign w:val="center"/>
          </w:tcPr>
          <w:p w14:paraId="2905BFDD" w14:textId="77777777" w:rsidR="000E76B9" w:rsidRDefault="00A86600">
            <w:pPr>
              <w:snapToGrid w:val="0"/>
              <w:spacing w:line="260" w:lineRule="exact"/>
              <w:jc w:val="center"/>
              <w:rPr>
                <w:rFonts w:eastAsia="仿宋"/>
                <w:sz w:val="24"/>
                <w:szCs w:val="24"/>
              </w:rPr>
            </w:pPr>
            <w:r>
              <w:rPr>
                <w:rFonts w:eastAsia="仿宋" w:hint="eastAsia"/>
                <w:sz w:val="24"/>
                <w:szCs w:val="24"/>
              </w:rPr>
              <w:t>&lt;0. 007</w:t>
            </w:r>
          </w:p>
        </w:tc>
        <w:tc>
          <w:tcPr>
            <w:tcW w:w="830" w:type="pct"/>
            <w:vAlign w:val="center"/>
          </w:tcPr>
          <w:p w14:paraId="5C9E458B" w14:textId="77777777" w:rsidR="000E76B9" w:rsidRDefault="00A86600">
            <w:pPr>
              <w:snapToGrid w:val="0"/>
              <w:spacing w:line="260" w:lineRule="exact"/>
              <w:jc w:val="center"/>
              <w:rPr>
                <w:rFonts w:eastAsia="仿宋"/>
                <w:sz w:val="24"/>
                <w:szCs w:val="24"/>
              </w:rPr>
            </w:pPr>
            <w:r>
              <w:rPr>
                <w:rFonts w:eastAsia="仿宋" w:hint="eastAsia"/>
                <w:sz w:val="24"/>
                <w:szCs w:val="24"/>
              </w:rPr>
              <w:t>&lt;0. 007</w:t>
            </w:r>
          </w:p>
        </w:tc>
      </w:tr>
      <w:tr w:rsidR="000E76B9" w14:paraId="4CAF618E" w14:textId="77777777">
        <w:trPr>
          <w:trHeight w:val="454"/>
          <w:tblHeader/>
        </w:trPr>
        <w:tc>
          <w:tcPr>
            <w:tcW w:w="827" w:type="pct"/>
            <w:vAlign w:val="center"/>
          </w:tcPr>
          <w:p w14:paraId="0519987E" w14:textId="77777777" w:rsidR="000E76B9" w:rsidRDefault="00A86600">
            <w:pPr>
              <w:snapToGrid w:val="0"/>
              <w:spacing w:line="260" w:lineRule="exact"/>
              <w:jc w:val="center"/>
              <w:rPr>
                <w:rFonts w:eastAsia="仿宋"/>
                <w:sz w:val="24"/>
                <w:szCs w:val="24"/>
              </w:rPr>
            </w:pPr>
            <w:r>
              <w:rPr>
                <w:rFonts w:eastAsia="仿宋" w:hint="eastAsia"/>
                <w:sz w:val="24"/>
                <w:szCs w:val="24"/>
              </w:rPr>
              <w:t>乙酸乙酯</w:t>
            </w:r>
          </w:p>
        </w:tc>
        <w:tc>
          <w:tcPr>
            <w:tcW w:w="860" w:type="pct"/>
            <w:vAlign w:val="center"/>
          </w:tcPr>
          <w:p w14:paraId="41FBC8D4" w14:textId="77777777" w:rsidR="000E76B9" w:rsidRDefault="00A86600">
            <w:pPr>
              <w:snapToGrid w:val="0"/>
              <w:spacing w:line="260" w:lineRule="exact"/>
              <w:jc w:val="center"/>
              <w:rPr>
                <w:rFonts w:eastAsia="仿宋"/>
                <w:sz w:val="24"/>
                <w:szCs w:val="24"/>
              </w:rPr>
            </w:pPr>
            <w:r>
              <w:rPr>
                <w:rFonts w:eastAsia="仿宋" w:hint="eastAsia"/>
                <w:sz w:val="24"/>
                <w:szCs w:val="24"/>
              </w:rPr>
              <w:t>3.421935268</w:t>
            </w:r>
          </w:p>
        </w:tc>
        <w:tc>
          <w:tcPr>
            <w:tcW w:w="827" w:type="pct"/>
            <w:vAlign w:val="center"/>
          </w:tcPr>
          <w:p w14:paraId="7354498D" w14:textId="77777777" w:rsidR="000E76B9" w:rsidRDefault="00A86600">
            <w:pPr>
              <w:snapToGrid w:val="0"/>
              <w:spacing w:line="260" w:lineRule="exact"/>
              <w:jc w:val="center"/>
              <w:rPr>
                <w:rFonts w:eastAsia="仿宋"/>
                <w:sz w:val="24"/>
                <w:szCs w:val="24"/>
              </w:rPr>
            </w:pPr>
            <w:r>
              <w:rPr>
                <w:rFonts w:eastAsia="仿宋" w:hint="eastAsia"/>
                <w:sz w:val="24"/>
                <w:szCs w:val="24"/>
              </w:rPr>
              <w:t>0.0151</w:t>
            </w:r>
          </w:p>
        </w:tc>
        <w:tc>
          <w:tcPr>
            <w:tcW w:w="828" w:type="pct"/>
            <w:vAlign w:val="center"/>
          </w:tcPr>
          <w:p w14:paraId="03968C94" w14:textId="77777777" w:rsidR="000E76B9" w:rsidRDefault="00A86600">
            <w:pPr>
              <w:snapToGrid w:val="0"/>
              <w:spacing w:line="260" w:lineRule="exact"/>
              <w:jc w:val="center"/>
              <w:rPr>
                <w:rFonts w:eastAsia="仿宋"/>
                <w:sz w:val="24"/>
                <w:szCs w:val="24"/>
              </w:rPr>
            </w:pPr>
            <w:r>
              <w:rPr>
                <w:rFonts w:eastAsia="仿宋" w:hint="eastAsia"/>
                <w:sz w:val="24"/>
                <w:szCs w:val="24"/>
              </w:rPr>
              <w:t>0.0151</w:t>
            </w:r>
          </w:p>
        </w:tc>
        <w:tc>
          <w:tcPr>
            <w:tcW w:w="828" w:type="pct"/>
            <w:vAlign w:val="center"/>
          </w:tcPr>
          <w:p w14:paraId="419BC209" w14:textId="77777777" w:rsidR="000E76B9" w:rsidRDefault="00A86600">
            <w:pPr>
              <w:snapToGrid w:val="0"/>
              <w:spacing w:line="260" w:lineRule="exact"/>
              <w:jc w:val="center"/>
              <w:rPr>
                <w:rFonts w:eastAsia="仿宋"/>
                <w:sz w:val="24"/>
                <w:szCs w:val="24"/>
              </w:rPr>
            </w:pPr>
            <w:r>
              <w:rPr>
                <w:rFonts w:eastAsia="仿宋" w:hint="eastAsia"/>
                <w:sz w:val="24"/>
                <w:szCs w:val="24"/>
              </w:rPr>
              <w:t>0.0152</w:t>
            </w:r>
          </w:p>
        </w:tc>
        <w:tc>
          <w:tcPr>
            <w:tcW w:w="830" w:type="pct"/>
            <w:vAlign w:val="center"/>
          </w:tcPr>
          <w:p w14:paraId="0F6FBCEC" w14:textId="77777777" w:rsidR="000E76B9" w:rsidRDefault="00A86600">
            <w:pPr>
              <w:snapToGrid w:val="0"/>
              <w:spacing w:line="260" w:lineRule="exact"/>
              <w:jc w:val="center"/>
              <w:rPr>
                <w:rFonts w:eastAsia="仿宋"/>
                <w:sz w:val="24"/>
                <w:szCs w:val="24"/>
              </w:rPr>
            </w:pPr>
            <w:r>
              <w:rPr>
                <w:rFonts w:eastAsia="仿宋" w:hint="eastAsia"/>
                <w:sz w:val="24"/>
                <w:szCs w:val="24"/>
              </w:rPr>
              <w:t>0.0103</w:t>
            </w:r>
          </w:p>
        </w:tc>
      </w:tr>
      <w:tr w:rsidR="000E76B9" w14:paraId="67D15586" w14:textId="77777777">
        <w:trPr>
          <w:trHeight w:val="454"/>
          <w:tblHeader/>
        </w:trPr>
        <w:tc>
          <w:tcPr>
            <w:tcW w:w="827" w:type="pct"/>
            <w:vAlign w:val="center"/>
          </w:tcPr>
          <w:p w14:paraId="7F3E6AC9" w14:textId="77777777" w:rsidR="000E76B9" w:rsidRDefault="00A86600">
            <w:pPr>
              <w:snapToGrid w:val="0"/>
              <w:spacing w:line="260" w:lineRule="exact"/>
              <w:jc w:val="center"/>
              <w:rPr>
                <w:rFonts w:eastAsia="仿宋"/>
                <w:sz w:val="24"/>
                <w:szCs w:val="24"/>
              </w:rPr>
            </w:pPr>
            <w:r>
              <w:rPr>
                <w:rFonts w:eastAsia="仿宋" w:hint="eastAsia"/>
                <w:sz w:val="24"/>
                <w:szCs w:val="24"/>
              </w:rPr>
              <w:t>乙酸丁酯</w:t>
            </w:r>
          </w:p>
        </w:tc>
        <w:tc>
          <w:tcPr>
            <w:tcW w:w="860" w:type="pct"/>
            <w:vAlign w:val="center"/>
          </w:tcPr>
          <w:p w14:paraId="189397EF" w14:textId="77777777" w:rsidR="000E76B9" w:rsidRDefault="00A86600">
            <w:pPr>
              <w:snapToGrid w:val="0"/>
              <w:spacing w:line="260" w:lineRule="exact"/>
              <w:jc w:val="center"/>
              <w:rPr>
                <w:rFonts w:eastAsia="仿宋"/>
                <w:sz w:val="24"/>
                <w:szCs w:val="24"/>
              </w:rPr>
            </w:pPr>
            <w:r>
              <w:rPr>
                <w:rFonts w:eastAsia="仿宋" w:hint="eastAsia"/>
                <w:sz w:val="24"/>
                <w:szCs w:val="24"/>
              </w:rPr>
              <w:t>0.082971429</w:t>
            </w:r>
          </w:p>
        </w:tc>
        <w:tc>
          <w:tcPr>
            <w:tcW w:w="827" w:type="pct"/>
            <w:vAlign w:val="center"/>
          </w:tcPr>
          <w:p w14:paraId="7138697D" w14:textId="77777777" w:rsidR="000E76B9" w:rsidRDefault="00A86600">
            <w:pPr>
              <w:snapToGrid w:val="0"/>
              <w:spacing w:line="260" w:lineRule="exact"/>
              <w:jc w:val="center"/>
              <w:rPr>
                <w:rFonts w:eastAsia="仿宋"/>
                <w:sz w:val="24"/>
                <w:szCs w:val="24"/>
              </w:rPr>
            </w:pPr>
            <w:r>
              <w:rPr>
                <w:rFonts w:eastAsia="仿宋" w:hint="eastAsia"/>
                <w:sz w:val="24"/>
                <w:szCs w:val="24"/>
              </w:rPr>
              <w:t>&lt;0. 0008</w:t>
            </w:r>
          </w:p>
        </w:tc>
        <w:tc>
          <w:tcPr>
            <w:tcW w:w="828" w:type="pct"/>
            <w:vAlign w:val="center"/>
          </w:tcPr>
          <w:p w14:paraId="1C33CD0F" w14:textId="77777777" w:rsidR="000E76B9" w:rsidRDefault="00A86600">
            <w:pPr>
              <w:snapToGrid w:val="0"/>
              <w:spacing w:line="260" w:lineRule="exact"/>
              <w:jc w:val="center"/>
              <w:rPr>
                <w:rFonts w:eastAsia="仿宋"/>
                <w:sz w:val="24"/>
                <w:szCs w:val="24"/>
              </w:rPr>
            </w:pPr>
            <w:r>
              <w:rPr>
                <w:rFonts w:eastAsia="仿宋" w:hint="eastAsia"/>
                <w:sz w:val="24"/>
                <w:szCs w:val="24"/>
              </w:rPr>
              <w:t>&lt;0. 0008</w:t>
            </w:r>
          </w:p>
        </w:tc>
        <w:tc>
          <w:tcPr>
            <w:tcW w:w="828" w:type="pct"/>
            <w:vAlign w:val="center"/>
          </w:tcPr>
          <w:p w14:paraId="0A4E7A9D" w14:textId="77777777" w:rsidR="000E76B9" w:rsidRDefault="00A86600">
            <w:pPr>
              <w:snapToGrid w:val="0"/>
              <w:spacing w:line="260" w:lineRule="exact"/>
              <w:jc w:val="center"/>
              <w:rPr>
                <w:rFonts w:eastAsia="仿宋"/>
                <w:sz w:val="24"/>
                <w:szCs w:val="24"/>
              </w:rPr>
            </w:pPr>
            <w:r>
              <w:rPr>
                <w:rFonts w:eastAsia="仿宋" w:hint="eastAsia"/>
                <w:sz w:val="24"/>
                <w:szCs w:val="24"/>
              </w:rPr>
              <w:t>&lt;0. 0008</w:t>
            </w:r>
          </w:p>
        </w:tc>
        <w:tc>
          <w:tcPr>
            <w:tcW w:w="830" w:type="pct"/>
            <w:vAlign w:val="center"/>
          </w:tcPr>
          <w:p w14:paraId="7FC29B6B" w14:textId="77777777" w:rsidR="000E76B9" w:rsidRDefault="00A86600">
            <w:pPr>
              <w:snapToGrid w:val="0"/>
              <w:spacing w:line="260" w:lineRule="exact"/>
              <w:jc w:val="center"/>
              <w:rPr>
                <w:rFonts w:eastAsia="仿宋"/>
                <w:sz w:val="24"/>
                <w:szCs w:val="24"/>
              </w:rPr>
            </w:pPr>
            <w:r>
              <w:rPr>
                <w:rFonts w:eastAsia="仿宋" w:hint="eastAsia"/>
                <w:sz w:val="24"/>
                <w:szCs w:val="24"/>
              </w:rPr>
              <w:t>&lt;0. 0008</w:t>
            </w:r>
          </w:p>
        </w:tc>
      </w:tr>
    </w:tbl>
    <w:p w14:paraId="64CAE70B" w14:textId="77777777" w:rsidR="000E76B9" w:rsidRDefault="000E76B9">
      <w:pPr>
        <w:widowControl/>
        <w:autoSpaceDE w:val="0"/>
        <w:autoSpaceDN w:val="0"/>
        <w:spacing w:line="360" w:lineRule="auto"/>
        <w:ind w:firstLineChars="200" w:firstLine="600"/>
        <w:jc w:val="center"/>
        <w:rPr>
          <w:rFonts w:eastAsia="仿宋"/>
          <w:sz w:val="30"/>
          <w:szCs w:val="30"/>
        </w:rPr>
      </w:pPr>
    </w:p>
    <w:p w14:paraId="570E8A61" w14:textId="77777777" w:rsidR="000E76B9" w:rsidRDefault="00A86600">
      <w:pPr>
        <w:widowControl/>
        <w:autoSpaceDE w:val="0"/>
        <w:autoSpaceDN w:val="0"/>
        <w:spacing w:line="360" w:lineRule="auto"/>
        <w:jc w:val="center"/>
        <w:rPr>
          <w:rFonts w:eastAsia="仿宋"/>
          <w:sz w:val="30"/>
          <w:szCs w:val="30"/>
        </w:rPr>
      </w:pPr>
      <w:r>
        <w:rPr>
          <w:rFonts w:eastAsia="仿宋"/>
          <w:noProof/>
          <w:sz w:val="30"/>
          <w:szCs w:val="30"/>
        </w:rPr>
        <w:lastRenderedPageBreak/>
        <w:drawing>
          <wp:inline distT="0" distB="0" distL="0" distR="0" wp14:anchorId="3070D71A" wp14:editId="225236C5">
            <wp:extent cx="4607560" cy="2581910"/>
            <wp:effectExtent l="0" t="0" r="2540" b="8890"/>
            <wp:docPr id="17555859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585959" name="图片 4"/>
                    <pic:cNvPicPr>
                      <a:picLocks noChangeAspect="1"/>
                    </pic:cNvPicPr>
                  </pic:nvPicPr>
                  <pic:blipFill>
                    <a:blip r:embed="rId11" cstate="print">
                      <a:extLst>
                        <a:ext uri="{28A0092B-C50C-407E-A947-70E740481C1C}">
                          <a14:useLocalDpi xmlns:a14="http://schemas.microsoft.com/office/drawing/2010/main" val="0"/>
                        </a:ext>
                      </a:extLst>
                    </a:blip>
                    <a:srcRect b="7471"/>
                    <a:stretch>
                      <a:fillRect/>
                    </a:stretch>
                  </pic:blipFill>
                  <pic:spPr>
                    <a:xfrm>
                      <a:off x="0" y="0"/>
                      <a:ext cx="4607560" cy="2581910"/>
                    </a:xfrm>
                    <a:prstGeom prst="rect">
                      <a:avLst/>
                    </a:prstGeom>
                    <a:ln>
                      <a:noFill/>
                    </a:ln>
                  </pic:spPr>
                </pic:pic>
              </a:graphicData>
            </a:graphic>
          </wp:inline>
        </w:drawing>
      </w:r>
    </w:p>
    <w:p w14:paraId="63DF8EF7" w14:textId="77777777" w:rsidR="000E76B9" w:rsidRDefault="00A86600">
      <w:pPr>
        <w:widowControl/>
        <w:autoSpaceDE w:val="0"/>
        <w:autoSpaceDN w:val="0"/>
        <w:spacing w:line="360" w:lineRule="auto"/>
        <w:jc w:val="center"/>
        <w:rPr>
          <w:rFonts w:eastAsia="仿宋"/>
          <w:sz w:val="30"/>
          <w:szCs w:val="30"/>
        </w:rPr>
      </w:pPr>
      <w:r>
        <w:rPr>
          <w:rFonts w:eastAsia="仿宋" w:hint="eastAsia"/>
          <w:noProof/>
          <w:sz w:val="30"/>
          <w:szCs w:val="30"/>
        </w:rPr>
        <w:drawing>
          <wp:inline distT="0" distB="0" distL="0" distR="0" wp14:anchorId="29431D94" wp14:editId="5AFC7646">
            <wp:extent cx="4607560" cy="2581275"/>
            <wp:effectExtent l="0" t="0" r="2540" b="9525"/>
            <wp:docPr id="138185965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59656" name="图片 7"/>
                    <pic:cNvPicPr>
                      <a:picLocks noChangeAspect="1"/>
                    </pic:cNvPicPr>
                  </pic:nvPicPr>
                  <pic:blipFill>
                    <a:blip r:embed="rId12" cstate="print">
                      <a:extLst>
                        <a:ext uri="{28A0092B-C50C-407E-A947-70E740481C1C}">
                          <a14:useLocalDpi xmlns:a14="http://schemas.microsoft.com/office/drawing/2010/main" val="0"/>
                        </a:ext>
                      </a:extLst>
                    </a:blip>
                    <a:srcRect b="7481"/>
                    <a:stretch>
                      <a:fillRect/>
                    </a:stretch>
                  </pic:blipFill>
                  <pic:spPr>
                    <a:xfrm>
                      <a:off x="0" y="0"/>
                      <a:ext cx="4608000" cy="2581593"/>
                    </a:xfrm>
                    <a:prstGeom prst="rect">
                      <a:avLst/>
                    </a:prstGeom>
                    <a:ln>
                      <a:noFill/>
                    </a:ln>
                  </pic:spPr>
                </pic:pic>
              </a:graphicData>
            </a:graphic>
          </wp:inline>
        </w:drawing>
      </w:r>
      <w:r>
        <w:rPr>
          <w:rFonts w:eastAsia="仿宋" w:hint="eastAsia"/>
          <w:noProof/>
          <w:sz w:val="30"/>
          <w:szCs w:val="30"/>
        </w:rPr>
        <w:drawing>
          <wp:inline distT="0" distB="0" distL="0" distR="0" wp14:anchorId="3B5F05E2" wp14:editId="76BA0FC9">
            <wp:extent cx="4607560" cy="2573020"/>
            <wp:effectExtent l="0" t="0" r="2540" b="0"/>
            <wp:docPr id="15081740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174051" name="图片 5"/>
                    <pic:cNvPicPr>
                      <a:picLocks noChangeAspect="1"/>
                    </pic:cNvPicPr>
                  </pic:nvPicPr>
                  <pic:blipFill>
                    <a:blip r:embed="rId13" cstate="print">
                      <a:extLst>
                        <a:ext uri="{28A0092B-C50C-407E-A947-70E740481C1C}">
                          <a14:useLocalDpi xmlns:a14="http://schemas.microsoft.com/office/drawing/2010/main" val="0"/>
                        </a:ext>
                      </a:extLst>
                    </a:blip>
                    <a:srcRect b="7780"/>
                    <a:stretch>
                      <a:fillRect/>
                    </a:stretch>
                  </pic:blipFill>
                  <pic:spPr>
                    <a:xfrm>
                      <a:off x="0" y="0"/>
                      <a:ext cx="4608000" cy="2573266"/>
                    </a:xfrm>
                    <a:prstGeom prst="rect">
                      <a:avLst/>
                    </a:prstGeom>
                    <a:ln>
                      <a:noFill/>
                    </a:ln>
                  </pic:spPr>
                </pic:pic>
              </a:graphicData>
            </a:graphic>
          </wp:inline>
        </w:drawing>
      </w:r>
    </w:p>
    <w:p w14:paraId="127C90DF" w14:textId="77777777" w:rsidR="000E76B9" w:rsidRDefault="00A86600">
      <w:pPr>
        <w:widowControl/>
        <w:autoSpaceDE w:val="0"/>
        <w:autoSpaceDN w:val="0"/>
        <w:spacing w:line="360" w:lineRule="auto"/>
        <w:jc w:val="center"/>
        <w:rPr>
          <w:rFonts w:eastAsia="仿宋"/>
          <w:sz w:val="30"/>
          <w:szCs w:val="30"/>
        </w:rPr>
      </w:pPr>
      <w:r>
        <w:rPr>
          <w:rFonts w:eastAsia="仿宋" w:hint="eastAsia"/>
          <w:noProof/>
          <w:sz w:val="30"/>
          <w:szCs w:val="30"/>
        </w:rPr>
        <w:lastRenderedPageBreak/>
        <w:drawing>
          <wp:inline distT="0" distB="0" distL="0" distR="0" wp14:anchorId="686EA4EE" wp14:editId="34A9F21D">
            <wp:extent cx="4607560" cy="2573020"/>
            <wp:effectExtent l="0" t="0" r="2540" b="0"/>
            <wp:docPr id="19698196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819605" name="图片 6"/>
                    <pic:cNvPicPr>
                      <a:picLocks noChangeAspect="1"/>
                    </pic:cNvPicPr>
                  </pic:nvPicPr>
                  <pic:blipFill>
                    <a:blip r:embed="rId14" cstate="print">
                      <a:extLst>
                        <a:ext uri="{28A0092B-C50C-407E-A947-70E740481C1C}">
                          <a14:useLocalDpi xmlns:a14="http://schemas.microsoft.com/office/drawing/2010/main" val="0"/>
                        </a:ext>
                      </a:extLst>
                    </a:blip>
                    <a:srcRect b="7780"/>
                    <a:stretch>
                      <a:fillRect/>
                    </a:stretch>
                  </pic:blipFill>
                  <pic:spPr>
                    <a:xfrm>
                      <a:off x="0" y="0"/>
                      <a:ext cx="4608000" cy="2573263"/>
                    </a:xfrm>
                    <a:prstGeom prst="rect">
                      <a:avLst/>
                    </a:prstGeom>
                    <a:ln>
                      <a:noFill/>
                    </a:ln>
                  </pic:spPr>
                </pic:pic>
              </a:graphicData>
            </a:graphic>
          </wp:inline>
        </w:drawing>
      </w:r>
      <w:r>
        <w:rPr>
          <w:rFonts w:eastAsia="仿宋" w:hint="eastAsia"/>
          <w:noProof/>
          <w:sz w:val="30"/>
          <w:szCs w:val="30"/>
        </w:rPr>
        <w:drawing>
          <wp:inline distT="0" distB="0" distL="0" distR="0" wp14:anchorId="3B6AFAD1" wp14:editId="6AFE30FB">
            <wp:extent cx="4607560" cy="2564765"/>
            <wp:effectExtent l="0" t="0" r="2540" b="6985"/>
            <wp:docPr id="135743794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437940" name="图片 8"/>
                    <pic:cNvPicPr>
                      <a:picLocks noChangeAspect="1"/>
                    </pic:cNvPicPr>
                  </pic:nvPicPr>
                  <pic:blipFill>
                    <a:blip r:embed="rId15" cstate="print">
                      <a:extLst>
                        <a:ext uri="{28A0092B-C50C-407E-A947-70E740481C1C}">
                          <a14:useLocalDpi xmlns:a14="http://schemas.microsoft.com/office/drawing/2010/main" val="0"/>
                        </a:ext>
                      </a:extLst>
                    </a:blip>
                    <a:srcRect b="8078"/>
                    <a:stretch>
                      <a:fillRect/>
                    </a:stretch>
                  </pic:blipFill>
                  <pic:spPr>
                    <a:xfrm>
                      <a:off x="0" y="0"/>
                      <a:ext cx="4608000" cy="2564935"/>
                    </a:xfrm>
                    <a:prstGeom prst="rect">
                      <a:avLst/>
                    </a:prstGeom>
                    <a:ln>
                      <a:noFill/>
                    </a:ln>
                  </pic:spPr>
                </pic:pic>
              </a:graphicData>
            </a:graphic>
          </wp:inline>
        </w:drawing>
      </w:r>
    </w:p>
    <w:p w14:paraId="53D02AC3" w14:textId="0B830A12" w:rsidR="00103CDC" w:rsidRPr="00954ECC" w:rsidRDefault="00103CDC">
      <w:pPr>
        <w:widowControl/>
        <w:autoSpaceDE w:val="0"/>
        <w:autoSpaceDN w:val="0"/>
        <w:spacing w:line="360" w:lineRule="auto"/>
        <w:jc w:val="center"/>
        <w:rPr>
          <w:rFonts w:eastAsia="仿宋"/>
          <w:b/>
          <w:sz w:val="30"/>
          <w:szCs w:val="30"/>
        </w:rPr>
      </w:pPr>
      <w:r w:rsidRPr="00954ECC">
        <w:rPr>
          <w:rFonts w:eastAsia="仿宋" w:hint="eastAsia"/>
          <w:b/>
          <w:sz w:val="30"/>
          <w:szCs w:val="30"/>
        </w:rPr>
        <w:t>图</w:t>
      </w:r>
      <w:r w:rsidRPr="00954ECC">
        <w:rPr>
          <w:rFonts w:eastAsia="仿宋" w:hint="eastAsia"/>
          <w:b/>
          <w:sz w:val="30"/>
          <w:szCs w:val="30"/>
        </w:rPr>
        <w:t xml:space="preserve">1 </w:t>
      </w:r>
      <w:r w:rsidRPr="00954ECC">
        <w:rPr>
          <w:rFonts w:eastAsia="仿宋" w:hint="eastAsia"/>
          <w:b/>
          <w:sz w:val="30"/>
          <w:szCs w:val="30"/>
        </w:rPr>
        <w:t>动物无害化设施主要环节恶臭（异味）污染物成分占比</w:t>
      </w:r>
    </w:p>
    <w:p w14:paraId="4FCE6725"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2</w:t>
      </w:r>
      <w:r>
        <w:rPr>
          <w:rFonts w:eastAsia="仿宋" w:hint="eastAsia"/>
          <w:b/>
          <w:sz w:val="30"/>
          <w:szCs w:val="30"/>
        </w:rPr>
        <w:t>）有组织排放限值</w:t>
      </w:r>
    </w:p>
    <w:p w14:paraId="3C57CFC2"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结合恶臭（异味）成分分析结果以及</w:t>
      </w:r>
      <w:r>
        <w:rPr>
          <w:rFonts w:eastAsia="仿宋" w:hint="eastAsia"/>
          <w:sz w:val="30"/>
          <w:szCs w:val="30"/>
        </w:rPr>
        <w:t>DB 31/1025-2016</w:t>
      </w:r>
      <w:r>
        <w:rPr>
          <w:rFonts w:eastAsia="仿宋" w:hint="eastAsia"/>
          <w:sz w:val="30"/>
          <w:szCs w:val="30"/>
        </w:rPr>
        <w:t>给出了氨、硫化氢、甲硫醇、甲硫醚、二甲二硫、三甲胺、臭气浓度排放限值要求，臭气浓度根据排气筒高度有相应不同的限值，且只考量排放浓度（无量纲），六项特征污染物同时考量排放浓度和排放速率（当恶臭（异味）污染物控制设施去除效率≥</w:t>
      </w:r>
      <w:r>
        <w:rPr>
          <w:rFonts w:eastAsia="仿宋" w:hint="eastAsia"/>
          <w:sz w:val="30"/>
          <w:szCs w:val="30"/>
        </w:rPr>
        <w:t>95%</w:t>
      </w:r>
      <w:r>
        <w:rPr>
          <w:rFonts w:eastAsia="仿宋" w:hint="eastAsia"/>
          <w:sz w:val="30"/>
          <w:szCs w:val="30"/>
        </w:rPr>
        <w:t>时，等同于满足最高允许排放速率限值要求）。</w:t>
      </w:r>
    </w:p>
    <w:p w14:paraId="0FCA0CBD"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3</w:t>
      </w:r>
      <w:r>
        <w:rPr>
          <w:rFonts w:eastAsia="仿宋" w:hint="eastAsia"/>
          <w:b/>
          <w:sz w:val="30"/>
          <w:szCs w:val="30"/>
        </w:rPr>
        <w:t>）无组织排放限值</w:t>
      </w:r>
    </w:p>
    <w:p w14:paraId="5557582B"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lastRenderedPageBreak/>
        <w:t>依据</w:t>
      </w:r>
      <w:r>
        <w:rPr>
          <w:rFonts w:eastAsia="仿宋" w:hint="eastAsia"/>
          <w:sz w:val="30"/>
          <w:szCs w:val="30"/>
        </w:rPr>
        <w:t>DB 31/1025-2016</w:t>
      </w:r>
      <w:r>
        <w:rPr>
          <w:rFonts w:eastAsia="仿宋" w:hint="eastAsia"/>
          <w:sz w:val="30"/>
          <w:szCs w:val="30"/>
        </w:rPr>
        <w:t>给出了氨、硫化氢、甲硫醇、甲硫醚、二甲二硫、三甲胺、臭气浓度的限值，区分工业区和非工业区。</w:t>
      </w:r>
    </w:p>
    <w:p w14:paraId="12DE5B97"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4</w:t>
      </w:r>
      <w:r>
        <w:rPr>
          <w:rFonts w:eastAsia="仿宋" w:hint="eastAsia"/>
          <w:b/>
          <w:sz w:val="30"/>
          <w:szCs w:val="30"/>
        </w:rPr>
        <w:t>）其他要求</w:t>
      </w:r>
    </w:p>
    <w:p w14:paraId="776C6DE5" w14:textId="21A3FA04"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针对无法达到</w:t>
      </w:r>
      <w:r>
        <w:rPr>
          <w:rFonts w:eastAsia="仿宋" w:hint="eastAsia"/>
          <w:sz w:val="30"/>
          <w:szCs w:val="30"/>
        </w:rPr>
        <w:t>4.7.1</w:t>
      </w:r>
      <w:r>
        <w:rPr>
          <w:rFonts w:eastAsia="仿宋" w:hint="eastAsia"/>
          <w:sz w:val="30"/>
          <w:szCs w:val="30"/>
        </w:rPr>
        <w:t>节排气筒高度的情况，本规范采取更严格的排放速率限值或者恶臭（异味）污染物去除效率的要求，具体要求均源自</w:t>
      </w:r>
      <w:r>
        <w:rPr>
          <w:rFonts w:eastAsia="仿宋" w:hint="eastAsia"/>
          <w:sz w:val="30"/>
          <w:szCs w:val="30"/>
        </w:rPr>
        <w:t>DB 31/1025-2016</w:t>
      </w:r>
      <w:r>
        <w:rPr>
          <w:rFonts w:eastAsia="仿宋" w:hint="eastAsia"/>
          <w:sz w:val="30"/>
          <w:szCs w:val="30"/>
        </w:rPr>
        <w:t>。</w:t>
      </w:r>
    </w:p>
    <w:p w14:paraId="15C0D352" w14:textId="77777777" w:rsidR="000E76B9" w:rsidRDefault="00A86600" w:rsidP="00850642">
      <w:pPr>
        <w:adjustRightInd w:val="0"/>
        <w:snapToGrid w:val="0"/>
        <w:spacing w:line="360" w:lineRule="auto"/>
        <w:ind w:firstLineChars="200" w:firstLine="643"/>
        <w:outlineLvl w:val="2"/>
        <w:rPr>
          <w:rFonts w:eastAsia="仿宋"/>
          <w:b/>
          <w:sz w:val="32"/>
          <w:szCs w:val="32"/>
        </w:rPr>
      </w:pPr>
      <w:r>
        <w:rPr>
          <w:rFonts w:eastAsia="仿宋" w:hint="eastAsia"/>
          <w:b/>
          <w:sz w:val="32"/>
          <w:szCs w:val="32"/>
        </w:rPr>
        <w:t>6</w:t>
      </w:r>
      <w:r>
        <w:rPr>
          <w:rFonts w:eastAsia="仿宋"/>
          <w:b/>
          <w:sz w:val="32"/>
          <w:szCs w:val="32"/>
        </w:rPr>
        <w:t>．</w:t>
      </w:r>
      <w:r>
        <w:rPr>
          <w:rFonts w:eastAsia="仿宋" w:hint="eastAsia"/>
          <w:b/>
          <w:sz w:val="32"/>
          <w:szCs w:val="32"/>
        </w:rPr>
        <w:t>恶臭（异味）污染物的监测</w:t>
      </w:r>
    </w:p>
    <w:p w14:paraId="21779E46"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1</w:t>
      </w:r>
      <w:r>
        <w:rPr>
          <w:rFonts w:eastAsia="仿宋" w:hint="eastAsia"/>
          <w:b/>
          <w:sz w:val="30"/>
          <w:szCs w:val="30"/>
        </w:rPr>
        <w:t>）基本要求</w:t>
      </w:r>
    </w:p>
    <w:p w14:paraId="04FFA0BA"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除了要求监测应按国家或地方环境保护管理部门的规定执行，还明确了恶臭（异味）污染源的责任主体的监测制度、安装自动监控设备需遵循的规定、采样时间的选择。具体要求源自</w:t>
      </w:r>
      <w:r>
        <w:rPr>
          <w:rFonts w:eastAsia="仿宋"/>
          <w:sz w:val="30"/>
          <w:szCs w:val="30"/>
        </w:rPr>
        <w:t>DB 31/1025-2016</w:t>
      </w:r>
      <w:r>
        <w:rPr>
          <w:rFonts w:eastAsia="仿宋"/>
          <w:sz w:val="30"/>
          <w:szCs w:val="30"/>
        </w:rPr>
        <w:t>。</w:t>
      </w:r>
    </w:p>
    <w:p w14:paraId="5DC5A303"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2</w:t>
      </w:r>
      <w:r>
        <w:rPr>
          <w:rFonts w:eastAsia="仿宋" w:hint="eastAsia"/>
          <w:b/>
          <w:sz w:val="30"/>
          <w:szCs w:val="30"/>
        </w:rPr>
        <w:t>）排气筒中污染物监测</w:t>
      </w:r>
    </w:p>
    <w:p w14:paraId="020B80B6" w14:textId="6A788148" w:rsidR="000E76B9" w:rsidRDefault="00A86600">
      <w:pPr>
        <w:adjustRightInd w:val="0"/>
        <w:snapToGrid w:val="0"/>
        <w:spacing w:line="360" w:lineRule="auto"/>
        <w:ind w:firstLineChars="200" w:firstLine="600"/>
        <w:rPr>
          <w:rFonts w:eastAsia="仿宋"/>
          <w:sz w:val="30"/>
          <w:szCs w:val="30"/>
        </w:rPr>
      </w:pPr>
      <w:r>
        <w:rPr>
          <w:rFonts w:eastAsia="仿宋"/>
          <w:sz w:val="30"/>
          <w:szCs w:val="30"/>
        </w:rPr>
        <w:t>明确了排气筒监测的总体要求、特征污染物的采样频次、臭气浓度的采样要求，</w:t>
      </w:r>
      <w:r>
        <w:rPr>
          <w:rFonts w:eastAsia="仿宋" w:hint="eastAsia"/>
          <w:sz w:val="30"/>
          <w:szCs w:val="30"/>
        </w:rPr>
        <w:t>在</w:t>
      </w:r>
      <w:r>
        <w:rPr>
          <w:rFonts w:eastAsia="仿宋"/>
          <w:sz w:val="30"/>
          <w:szCs w:val="30"/>
        </w:rPr>
        <w:t>DB 31/1025-2016</w:t>
      </w:r>
      <w:r>
        <w:rPr>
          <w:rFonts w:eastAsia="仿宋" w:hint="eastAsia"/>
          <w:sz w:val="30"/>
          <w:szCs w:val="30"/>
        </w:rPr>
        <w:t>的基础上</w:t>
      </w:r>
      <w:r>
        <w:rPr>
          <w:rFonts w:eastAsia="仿宋"/>
          <w:sz w:val="30"/>
          <w:szCs w:val="30"/>
        </w:rPr>
        <w:t>，</w:t>
      </w:r>
      <w:r>
        <w:rPr>
          <w:rFonts w:eastAsia="仿宋" w:hint="eastAsia"/>
          <w:sz w:val="30"/>
          <w:szCs w:val="30"/>
        </w:rPr>
        <w:t>结合动物无害化设施的连续不间断的生产作业的特点，</w:t>
      </w:r>
      <w:r>
        <w:rPr>
          <w:rFonts w:eastAsia="仿宋"/>
          <w:sz w:val="30"/>
          <w:szCs w:val="30"/>
        </w:rPr>
        <w:t>进一步明确了每个生产周期排气筒的采样频率不应少于</w:t>
      </w:r>
      <w:r>
        <w:rPr>
          <w:rFonts w:eastAsia="仿宋"/>
          <w:sz w:val="30"/>
          <w:szCs w:val="30"/>
        </w:rPr>
        <w:t>4</w:t>
      </w:r>
      <w:r>
        <w:rPr>
          <w:rFonts w:eastAsia="仿宋"/>
          <w:sz w:val="30"/>
          <w:szCs w:val="30"/>
        </w:rPr>
        <w:t>次。</w:t>
      </w:r>
    </w:p>
    <w:p w14:paraId="0E5578B2" w14:textId="77777777" w:rsidR="000E76B9" w:rsidRDefault="00A86600" w:rsidP="00850642">
      <w:pPr>
        <w:adjustRightInd w:val="0"/>
        <w:snapToGrid w:val="0"/>
        <w:spacing w:line="360" w:lineRule="auto"/>
        <w:ind w:firstLineChars="200" w:firstLine="602"/>
        <w:outlineLvl w:val="3"/>
        <w:rPr>
          <w:rFonts w:eastAsia="仿宋"/>
          <w:b/>
          <w:sz w:val="30"/>
          <w:szCs w:val="30"/>
        </w:rPr>
      </w:pPr>
      <w:r>
        <w:rPr>
          <w:rFonts w:eastAsia="仿宋" w:hint="eastAsia"/>
          <w:b/>
          <w:sz w:val="30"/>
          <w:szCs w:val="30"/>
        </w:rPr>
        <w:t>（</w:t>
      </w:r>
      <w:r>
        <w:rPr>
          <w:rFonts w:eastAsia="仿宋" w:hint="eastAsia"/>
          <w:b/>
          <w:sz w:val="30"/>
          <w:szCs w:val="30"/>
        </w:rPr>
        <w:t>3</w:t>
      </w:r>
      <w:r>
        <w:rPr>
          <w:rFonts w:eastAsia="仿宋" w:hint="eastAsia"/>
          <w:b/>
          <w:sz w:val="30"/>
          <w:szCs w:val="30"/>
        </w:rPr>
        <w:t>）周界监控点污染物监测</w:t>
      </w:r>
    </w:p>
    <w:p w14:paraId="00040F73"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明确了监控点的设置原则、特征污染物采样频次及臭气浓度的采样要求。相较于</w:t>
      </w:r>
      <w:r>
        <w:rPr>
          <w:rFonts w:eastAsia="仿宋"/>
          <w:sz w:val="30"/>
          <w:szCs w:val="30"/>
        </w:rPr>
        <w:t>DB 31/1025-2016</w:t>
      </w:r>
      <w:r>
        <w:rPr>
          <w:rFonts w:eastAsia="仿宋"/>
          <w:sz w:val="30"/>
          <w:szCs w:val="30"/>
        </w:rPr>
        <w:t>，在周界恶臭（异味）污染物监控点设置方面增加了上风向参照点，旨在分析恶臭（异味）污染物的来源和扩散情况，周界监控点的采样频率。</w:t>
      </w:r>
    </w:p>
    <w:p w14:paraId="36D15D89" w14:textId="77777777" w:rsidR="000E76B9" w:rsidRDefault="00A86600">
      <w:pPr>
        <w:spacing w:line="360" w:lineRule="auto"/>
        <w:ind w:firstLineChars="200" w:firstLine="643"/>
        <w:jc w:val="left"/>
        <w:outlineLvl w:val="0"/>
        <w:rPr>
          <w:rFonts w:eastAsia="黑体"/>
          <w:b/>
          <w:bCs/>
          <w:sz w:val="32"/>
          <w:szCs w:val="32"/>
        </w:rPr>
      </w:pPr>
      <w:bookmarkStart w:id="14" w:name="_Toc187067321"/>
      <w:r>
        <w:rPr>
          <w:rFonts w:eastAsia="黑体" w:hint="eastAsia"/>
          <w:b/>
          <w:bCs/>
          <w:sz w:val="32"/>
          <w:szCs w:val="32"/>
        </w:rPr>
        <w:t>六</w:t>
      </w:r>
      <w:r>
        <w:rPr>
          <w:rFonts w:eastAsia="黑体"/>
          <w:b/>
          <w:bCs/>
          <w:sz w:val="32"/>
          <w:szCs w:val="32"/>
        </w:rPr>
        <w:t>、与国内外同类标准技术内容的对比情况</w:t>
      </w:r>
      <w:bookmarkEnd w:id="14"/>
    </w:p>
    <w:p w14:paraId="18FE1170" w14:textId="77777777" w:rsidR="000E76B9" w:rsidRDefault="00A86600" w:rsidP="00850642">
      <w:pPr>
        <w:adjustRightInd w:val="0"/>
        <w:snapToGrid w:val="0"/>
        <w:spacing w:line="360" w:lineRule="auto"/>
        <w:ind w:firstLineChars="200" w:firstLine="643"/>
        <w:outlineLvl w:val="1"/>
        <w:rPr>
          <w:rFonts w:ascii="仿宋" w:eastAsia="仿宋" w:hAnsi="仿宋" w:hint="eastAsia"/>
          <w:b/>
          <w:sz w:val="32"/>
          <w:szCs w:val="32"/>
        </w:rPr>
      </w:pPr>
      <w:bookmarkStart w:id="15" w:name="_Toc187067322"/>
      <w:r>
        <w:rPr>
          <w:rFonts w:ascii="仿宋" w:eastAsia="仿宋" w:hAnsi="仿宋" w:hint="eastAsia"/>
          <w:b/>
          <w:sz w:val="32"/>
          <w:szCs w:val="32"/>
        </w:rPr>
        <w:lastRenderedPageBreak/>
        <w:t>（一）国际、国外同类标准的采用及对比分析</w:t>
      </w:r>
      <w:bookmarkEnd w:id="15"/>
    </w:p>
    <w:p w14:paraId="65EFADA8"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美国于</w:t>
      </w:r>
      <w:r>
        <w:rPr>
          <w:rFonts w:eastAsia="仿宋" w:hint="eastAsia"/>
          <w:sz w:val="30"/>
          <w:szCs w:val="30"/>
        </w:rPr>
        <w:t>1971</w:t>
      </w:r>
      <w:r>
        <w:rPr>
          <w:rFonts w:eastAsia="仿宋" w:hint="eastAsia"/>
          <w:sz w:val="30"/>
          <w:szCs w:val="30"/>
        </w:rPr>
        <w:t>年颁布了《清洁空气法》对恶臭（异味）污染物排放做出规定，但美国联邦政府并未制订统一的恶臭（异味）法规标准，而是由各州根据所辖区域经济发展特点和实际情况制订相应恶臭（异味）管理方法。在欧洲，荷兰和德国分别于</w:t>
      </w:r>
      <w:r>
        <w:rPr>
          <w:rFonts w:eastAsia="仿宋" w:hint="eastAsia"/>
          <w:sz w:val="30"/>
          <w:szCs w:val="30"/>
        </w:rPr>
        <w:t>1971</w:t>
      </w:r>
      <w:r>
        <w:rPr>
          <w:rFonts w:eastAsia="仿宋" w:hint="eastAsia"/>
          <w:sz w:val="30"/>
          <w:szCs w:val="30"/>
        </w:rPr>
        <w:t>年、</w:t>
      </w:r>
      <w:r>
        <w:rPr>
          <w:rFonts w:eastAsia="仿宋" w:hint="eastAsia"/>
          <w:sz w:val="30"/>
          <w:szCs w:val="30"/>
        </w:rPr>
        <w:t>1980</w:t>
      </w:r>
      <w:r>
        <w:rPr>
          <w:rFonts w:eastAsia="仿宋" w:hint="eastAsia"/>
          <w:sz w:val="30"/>
          <w:szCs w:val="30"/>
        </w:rPr>
        <w:t>年发布了国家级恶臭（异味）污染影响评价标准，对臭气浓度进行了限制。</w:t>
      </w:r>
      <w:r>
        <w:rPr>
          <w:rFonts w:eastAsia="仿宋" w:hint="eastAsia"/>
          <w:sz w:val="30"/>
          <w:szCs w:val="30"/>
        </w:rPr>
        <w:t>2003</w:t>
      </w:r>
      <w:r>
        <w:rPr>
          <w:rFonts w:eastAsia="仿宋" w:hint="eastAsia"/>
          <w:sz w:val="30"/>
          <w:szCs w:val="30"/>
        </w:rPr>
        <w:t>年</w:t>
      </w:r>
      <w:r>
        <w:rPr>
          <w:rFonts w:eastAsia="仿宋" w:hint="eastAsia"/>
          <w:sz w:val="30"/>
          <w:szCs w:val="30"/>
        </w:rPr>
        <w:t>4</w:t>
      </w:r>
      <w:r>
        <w:rPr>
          <w:rFonts w:eastAsia="仿宋" w:hint="eastAsia"/>
          <w:sz w:val="30"/>
          <w:szCs w:val="30"/>
        </w:rPr>
        <w:t>月，欧盟颁布</w:t>
      </w:r>
      <w:r>
        <w:rPr>
          <w:rFonts w:eastAsia="仿宋" w:hint="eastAsia"/>
          <w:sz w:val="30"/>
          <w:szCs w:val="30"/>
        </w:rPr>
        <w:t>EN13725:2003</w:t>
      </w:r>
      <w:r>
        <w:rPr>
          <w:rFonts w:eastAsia="仿宋" w:hint="eastAsia"/>
          <w:sz w:val="30"/>
          <w:szCs w:val="30"/>
        </w:rPr>
        <w:t>标准，以替代以往欧盟各国的国家恶臭（异味）环境标准。总体上，西方发达国家已经建立了包括国家和地方法规、测试方法、操作人员认证制度和质量控制标准的一套完整的恶臭（异味）控制体系，但这些欧美国家的恶臭（异味）标准主要关注的是环境敏感点的恶臭浓度水平。标准并不主要对排放源的排放进行具体的要求，因此多被称为恶臭（异味）环境标准。</w:t>
      </w:r>
    </w:p>
    <w:p w14:paraId="36E5FA2C"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作为世界上较早制定恶臭（异味）排放标准的国家，日本于</w:t>
      </w:r>
      <w:r>
        <w:rPr>
          <w:rFonts w:eastAsia="仿宋" w:hint="eastAsia"/>
          <w:sz w:val="30"/>
          <w:szCs w:val="30"/>
        </w:rPr>
        <w:t>1971</w:t>
      </w:r>
      <w:r>
        <w:rPr>
          <w:rFonts w:eastAsia="仿宋" w:hint="eastAsia"/>
          <w:sz w:val="30"/>
          <w:szCs w:val="30"/>
        </w:rPr>
        <w:t>年颁布了《恶臭防止法》，规定了氨、甲硫醇、硫化氢、甲硫醚和三甲胺这</w:t>
      </w:r>
      <w:r>
        <w:rPr>
          <w:rFonts w:eastAsia="仿宋" w:hint="eastAsia"/>
          <w:sz w:val="30"/>
          <w:szCs w:val="30"/>
        </w:rPr>
        <w:t>5</w:t>
      </w:r>
      <w:r>
        <w:rPr>
          <w:rFonts w:eastAsia="仿宋" w:hint="eastAsia"/>
          <w:sz w:val="30"/>
          <w:szCs w:val="30"/>
        </w:rPr>
        <w:t>种常见恶臭（异味）污染物的排放浓度限值。经过</w:t>
      </w:r>
      <w:r>
        <w:rPr>
          <w:rFonts w:eastAsia="仿宋" w:hint="eastAsia"/>
          <w:sz w:val="30"/>
          <w:szCs w:val="30"/>
        </w:rPr>
        <w:t>30</w:t>
      </w:r>
      <w:r>
        <w:rPr>
          <w:rFonts w:eastAsia="仿宋" w:hint="eastAsia"/>
          <w:sz w:val="30"/>
          <w:szCs w:val="30"/>
        </w:rPr>
        <w:t>年的不断修订和完善，现行的《恶臭防止法》于</w:t>
      </w:r>
      <w:r>
        <w:rPr>
          <w:rFonts w:eastAsia="仿宋" w:hint="eastAsia"/>
          <w:sz w:val="30"/>
          <w:szCs w:val="30"/>
        </w:rPr>
        <w:t>2000</w:t>
      </w:r>
      <w:r>
        <w:rPr>
          <w:rFonts w:eastAsia="仿宋" w:hint="eastAsia"/>
          <w:sz w:val="30"/>
          <w:szCs w:val="30"/>
        </w:rPr>
        <w:t>年最终修订完成，其指标体系包括厂界浓度限值、排气筒和排水口恶臭污染物排放限值，控制项目包括</w:t>
      </w:r>
      <w:r>
        <w:rPr>
          <w:rFonts w:eastAsia="仿宋" w:hint="eastAsia"/>
          <w:sz w:val="30"/>
          <w:szCs w:val="30"/>
        </w:rPr>
        <w:t>22</w:t>
      </w:r>
      <w:r>
        <w:rPr>
          <w:rFonts w:eastAsia="仿宋" w:hint="eastAsia"/>
          <w:sz w:val="30"/>
          <w:szCs w:val="30"/>
        </w:rPr>
        <w:t>种恶臭（异味）污染物浓度和臭气指数（</w:t>
      </w:r>
      <w:r>
        <w:rPr>
          <w:rFonts w:eastAsia="仿宋" w:hint="eastAsia"/>
          <w:sz w:val="30"/>
          <w:szCs w:val="30"/>
        </w:rPr>
        <w:t>10</w:t>
      </w:r>
      <w:r>
        <w:rPr>
          <w:rFonts w:eastAsia="仿宋" w:hint="eastAsia"/>
          <w:sz w:val="30"/>
          <w:szCs w:val="30"/>
        </w:rPr>
        <w:t>倍的臭气浓度对数值）。</w:t>
      </w:r>
    </w:p>
    <w:p w14:paraId="2FBB324B"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韩国在上世纪</w:t>
      </w:r>
      <w:r>
        <w:rPr>
          <w:rFonts w:eastAsia="仿宋" w:hint="eastAsia"/>
          <w:sz w:val="30"/>
          <w:szCs w:val="30"/>
        </w:rPr>
        <w:t>90</w:t>
      </w:r>
      <w:r>
        <w:rPr>
          <w:rFonts w:eastAsia="仿宋" w:hint="eastAsia"/>
          <w:sz w:val="30"/>
          <w:szCs w:val="30"/>
        </w:rPr>
        <w:t>年代初制定的《大气环境保全法》中规定恶臭（异味）排放标准的相关内容，对于厂界的臭气强度和</w:t>
      </w:r>
      <w:r>
        <w:rPr>
          <w:rFonts w:eastAsia="仿宋" w:hint="eastAsia"/>
          <w:sz w:val="30"/>
          <w:szCs w:val="30"/>
        </w:rPr>
        <w:t>8</w:t>
      </w:r>
      <w:r>
        <w:rPr>
          <w:rFonts w:eastAsia="仿宋" w:hint="eastAsia"/>
          <w:sz w:val="30"/>
          <w:szCs w:val="30"/>
        </w:rPr>
        <w:t>种恶</w:t>
      </w:r>
      <w:r>
        <w:rPr>
          <w:rFonts w:eastAsia="仿宋" w:hint="eastAsia"/>
          <w:sz w:val="30"/>
          <w:szCs w:val="30"/>
        </w:rPr>
        <w:lastRenderedPageBreak/>
        <w:t>臭（异味）物质浓度设定了限值，上世纪末又追加了排放口的臭气浓度限值。</w:t>
      </w:r>
      <w:r>
        <w:rPr>
          <w:rFonts w:eastAsia="仿宋" w:hint="eastAsia"/>
          <w:sz w:val="30"/>
          <w:szCs w:val="30"/>
        </w:rPr>
        <w:t>2004</w:t>
      </w:r>
      <w:r>
        <w:rPr>
          <w:rFonts w:eastAsia="仿宋" w:hint="eastAsia"/>
          <w:sz w:val="30"/>
          <w:szCs w:val="30"/>
        </w:rPr>
        <w:t>年，韩国政府考虑到恶臭（异味）污染投诉急剧增加的情况，制定了《恶臭防治法》对恶臭（异味）排放限值、测试方法以及惩罚措施等内容进行了规定。</w:t>
      </w:r>
      <w:r>
        <w:rPr>
          <w:rFonts w:eastAsia="仿宋" w:hint="eastAsia"/>
          <w:sz w:val="30"/>
          <w:szCs w:val="30"/>
        </w:rPr>
        <w:t>2008</w:t>
      </w:r>
      <w:r>
        <w:rPr>
          <w:rFonts w:eastAsia="仿宋" w:hint="eastAsia"/>
          <w:sz w:val="30"/>
          <w:szCs w:val="30"/>
        </w:rPr>
        <w:t>年和</w:t>
      </w:r>
      <w:r>
        <w:rPr>
          <w:rFonts w:eastAsia="仿宋" w:hint="eastAsia"/>
          <w:sz w:val="30"/>
          <w:szCs w:val="30"/>
        </w:rPr>
        <w:t>2010</w:t>
      </w:r>
      <w:r>
        <w:rPr>
          <w:rFonts w:eastAsia="仿宋" w:hint="eastAsia"/>
          <w:sz w:val="30"/>
          <w:szCs w:val="30"/>
        </w:rPr>
        <w:t>年韩国政府先后两次修订《恶臭防治法》，增加受控物质至</w:t>
      </w:r>
      <w:r>
        <w:rPr>
          <w:rFonts w:eastAsia="仿宋" w:hint="eastAsia"/>
          <w:sz w:val="30"/>
          <w:szCs w:val="30"/>
        </w:rPr>
        <w:t>22</w:t>
      </w:r>
      <w:r>
        <w:rPr>
          <w:rFonts w:eastAsia="仿宋" w:hint="eastAsia"/>
          <w:sz w:val="30"/>
          <w:szCs w:val="30"/>
        </w:rPr>
        <w:t>种。</w:t>
      </w:r>
    </w:p>
    <w:p w14:paraId="3B852596"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然而，目前国际和国外尚无专门针对动物无害化过程的恶臭（异味）污染防治要求及排放控制要求的相关法规和标准。</w:t>
      </w:r>
    </w:p>
    <w:p w14:paraId="7DFFCA20" w14:textId="77777777" w:rsidR="000E76B9" w:rsidRDefault="00A86600" w:rsidP="00850642">
      <w:pPr>
        <w:adjustRightInd w:val="0"/>
        <w:snapToGrid w:val="0"/>
        <w:spacing w:line="360" w:lineRule="auto"/>
        <w:ind w:firstLineChars="200" w:firstLine="643"/>
        <w:outlineLvl w:val="1"/>
        <w:rPr>
          <w:rFonts w:ascii="仿宋" w:eastAsia="仿宋" w:hAnsi="仿宋" w:hint="eastAsia"/>
          <w:b/>
          <w:sz w:val="32"/>
          <w:szCs w:val="32"/>
        </w:rPr>
      </w:pPr>
      <w:bookmarkStart w:id="16" w:name="_Toc187067323"/>
      <w:r>
        <w:rPr>
          <w:rFonts w:ascii="仿宋" w:eastAsia="仿宋" w:hAnsi="仿宋" w:hint="eastAsia"/>
          <w:b/>
          <w:sz w:val="32"/>
          <w:szCs w:val="32"/>
        </w:rPr>
        <w:t>（二）国家标准、行业标准的采用及对比分析</w:t>
      </w:r>
      <w:bookmarkEnd w:id="16"/>
    </w:p>
    <w:p w14:paraId="58FA1746" w14:textId="77777777" w:rsidR="000E76B9" w:rsidRDefault="00A86600" w:rsidP="00850642">
      <w:pPr>
        <w:adjustRightInd w:val="0"/>
        <w:snapToGrid w:val="0"/>
        <w:spacing w:line="360" w:lineRule="auto"/>
        <w:ind w:firstLineChars="200" w:firstLine="643"/>
        <w:outlineLvl w:val="2"/>
        <w:rPr>
          <w:rFonts w:eastAsia="仿宋"/>
          <w:b/>
          <w:sz w:val="32"/>
          <w:szCs w:val="32"/>
        </w:rPr>
      </w:pPr>
      <w:r>
        <w:rPr>
          <w:rFonts w:eastAsia="仿宋" w:hint="eastAsia"/>
          <w:b/>
          <w:sz w:val="32"/>
          <w:szCs w:val="32"/>
        </w:rPr>
        <w:t>1</w:t>
      </w:r>
      <w:r>
        <w:rPr>
          <w:rFonts w:eastAsia="仿宋"/>
          <w:b/>
          <w:sz w:val="32"/>
          <w:szCs w:val="32"/>
        </w:rPr>
        <w:t>．</w:t>
      </w:r>
      <w:r>
        <w:rPr>
          <w:rFonts w:eastAsia="仿宋" w:hint="eastAsia"/>
          <w:b/>
          <w:sz w:val="32"/>
          <w:szCs w:val="32"/>
        </w:rPr>
        <w:t>与现行国家和地方技术规范的比较</w:t>
      </w:r>
    </w:p>
    <w:p w14:paraId="0D5BB6C5"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为推进本市动物无害化处理工作的标准化建设，自</w:t>
      </w:r>
      <w:r>
        <w:rPr>
          <w:rFonts w:eastAsia="仿宋" w:hint="eastAsia"/>
          <w:sz w:val="30"/>
          <w:szCs w:val="30"/>
        </w:rPr>
        <w:t>2013</w:t>
      </w:r>
      <w:r>
        <w:rPr>
          <w:rFonts w:eastAsia="仿宋" w:hint="eastAsia"/>
          <w:sz w:val="30"/>
          <w:szCs w:val="30"/>
        </w:rPr>
        <w:t>年起，上海市动物无害化处理中心持续不懈地完善动物无害化集中收集、处理体系的建设和规范化管理，</w:t>
      </w:r>
      <w:r>
        <w:rPr>
          <w:rFonts w:eastAsia="仿宋" w:hint="eastAsia"/>
          <w:sz w:val="30"/>
          <w:szCs w:val="30"/>
        </w:rPr>
        <w:t>2014</w:t>
      </w:r>
      <w:r>
        <w:rPr>
          <w:rFonts w:eastAsia="仿宋" w:hint="eastAsia"/>
          <w:sz w:val="30"/>
          <w:szCs w:val="30"/>
        </w:rPr>
        <w:t>年</w:t>
      </w:r>
      <w:r>
        <w:rPr>
          <w:rFonts w:eastAsia="仿宋" w:hint="eastAsia"/>
          <w:sz w:val="30"/>
          <w:szCs w:val="30"/>
        </w:rPr>
        <w:t>~2016</w:t>
      </w:r>
      <w:r>
        <w:rPr>
          <w:rFonts w:eastAsia="仿宋" w:hint="eastAsia"/>
          <w:sz w:val="30"/>
          <w:szCs w:val="30"/>
        </w:rPr>
        <w:t>年相继发布了《动物无害化集中处理场所通用技术规范》（</w:t>
      </w:r>
      <w:r>
        <w:rPr>
          <w:rFonts w:eastAsia="仿宋" w:hint="eastAsia"/>
          <w:sz w:val="30"/>
          <w:szCs w:val="30"/>
        </w:rPr>
        <w:t>DB31/T 821-2014</w:t>
      </w:r>
      <w:r>
        <w:rPr>
          <w:rFonts w:eastAsia="仿宋" w:hint="eastAsia"/>
          <w:sz w:val="30"/>
          <w:szCs w:val="30"/>
        </w:rPr>
        <w:t>）、《动物无害化收集场所通用技术规范》（</w:t>
      </w:r>
      <w:r>
        <w:rPr>
          <w:rFonts w:eastAsia="仿宋" w:hint="eastAsia"/>
          <w:sz w:val="30"/>
          <w:szCs w:val="30"/>
        </w:rPr>
        <w:t>DB31/T 953-2015</w:t>
      </w:r>
      <w:r>
        <w:rPr>
          <w:rFonts w:eastAsia="仿宋" w:hint="eastAsia"/>
          <w:sz w:val="30"/>
          <w:szCs w:val="30"/>
        </w:rPr>
        <w:t>）、《动物无害化收集转运技术规范》（</w:t>
      </w:r>
      <w:r>
        <w:rPr>
          <w:rFonts w:eastAsia="仿宋" w:hint="eastAsia"/>
          <w:sz w:val="30"/>
          <w:szCs w:val="30"/>
        </w:rPr>
        <w:t>DB31/T 1004-2016</w:t>
      </w:r>
      <w:r>
        <w:rPr>
          <w:rFonts w:eastAsia="仿宋" w:hint="eastAsia"/>
          <w:sz w:val="30"/>
          <w:szCs w:val="30"/>
        </w:rPr>
        <w:t>），形成了从收集、运输到处理完整的动物无害化处理技术链和工艺控制要求。</w:t>
      </w:r>
    </w:p>
    <w:p w14:paraId="127F4AFB"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2017</w:t>
      </w:r>
      <w:r>
        <w:rPr>
          <w:rFonts w:eastAsia="仿宋" w:hint="eastAsia"/>
          <w:sz w:val="30"/>
          <w:szCs w:val="30"/>
        </w:rPr>
        <w:t>年</w:t>
      </w:r>
      <w:r>
        <w:rPr>
          <w:rFonts w:eastAsia="仿宋" w:hint="eastAsia"/>
          <w:sz w:val="30"/>
          <w:szCs w:val="30"/>
        </w:rPr>
        <w:t>7</w:t>
      </w:r>
      <w:r>
        <w:rPr>
          <w:rFonts w:eastAsia="仿宋" w:hint="eastAsia"/>
          <w:sz w:val="30"/>
          <w:szCs w:val="30"/>
        </w:rPr>
        <w:t>月，农业部印发了《病死及病害动物无害化处理技术规范》（农医发</w:t>
      </w:r>
      <w:r>
        <w:rPr>
          <w:rFonts w:eastAsia="仿宋" w:hint="eastAsia"/>
          <w:sz w:val="30"/>
          <w:szCs w:val="30"/>
        </w:rPr>
        <w:t>[2017]25</w:t>
      </w:r>
      <w:r>
        <w:rPr>
          <w:rFonts w:eastAsia="仿宋" w:hint="eastAsia"/>
          <w:sz w:val="30"/>
          <w:szCs w:val="30"/>
        </w:rPr>
        <w:t>号）。</w:t>
      </w:r>
      <w:r>
        <w:rPr>
          <w:rFonts w:eastAsia="仿宋" w:hint="eastAsia"/>
          <w:sz w:val="30"/>
          <w:szCs w:val="30"/>
        </w:rPr>
        <w:t>2018</w:t>
      </w:r>
      <w:r>
        <w:rPr>
          <w:rFonts w:eastAsia="仿宋" w:hint="eastAsia"/>
          <w:sz w:val="30"/>
          <w:szCs w:val="30"/>
        </w:rPr>
        <w:t>年至</w:t>
      </w:r>
      <w:r>
        <w:rPr>
          <w:rFonts w:eastAsia="仿宋" w:hint="eastAsia"/>
          <w:sz w:val="30"/>
          <w:szCs w:val="30"/>
        </w:rPr>
        <w:t>2022</w:t>
      </w:r>
      <w:r>
        <w:rPr>
          <w:rFonts w:eastAsia="仿宋" w:hint="eastAsia"/>
          <w:sz w:val="30"/>
          <w:szCs w:val="30"/>
        </w:rPr>
        <w:t>年，新疆、吉林、山东、广西、辽宁、青海等地陆续发布了动物无害化技术规范（规程），分别为：《病死动物无害化处理技术规程》（</w:t>
      </w:r>
      <w:r>
        <w:rPr>
          <w:rFonts w:eastAsia="仿宋" w:hint="eastAsia"/>
          <w:sz w:val="30"/>
          <w:szCs w:val="30"/>
        </w:rPr>
        <w:t>DB65/T 4124-2018)</w:t>
      </w:r>
      <w:r>
        <w:rPr>
          <w:rFonts w:eastAsia="仿宋" w:hint="eastAsia"/>
          <w:sz w:val="30"/>
          <w:szCs w:val="30"/>
        </w:rPr>
        <w:t>、《动物尸体无害化处理厂（点）建设规范》（</w:t>
      </w:r>
      <w:r>
        <w:rPr>
          <w:rFonts w:eastAsia="仿宋" w:hint="eastAsia"/>
          <w:sz w:val="30"/>
          <w:szCs w:val="30"/>
        </w:rPr>
        <w:t>DB22/T 2916-2018</w:t>
      </w:r>
      <w:r>
        <w:rPr>
          <w:rFonts w:eastAsia="仿宋" w:hint="eastAsia"/>
          <w:sz w:val="30"/>
          <w:szCs w:val="30"/>
        </w:rPr>
        <w:t>）、《病死畜禽无害化收运车通用技术规范》（</w:t>
      </w:r>
      <w:r>
        <w:rPr>
          <w:rFonts w:eastAsia="仿宋" w:hint="eastAsia"/>
          <w:sz w:val="30"/>
          <w:szCs w:val="30"/>
        </w:rPr>
        <w:t>DB37/T 4015-</w:t>
      </w:r>
      <w:r>
        <w:rPr>
          <w:rFonts w:eastAsia="仿宋" w:hint="eastAsia"/>
          <w:sz w:val="30"/>
          <w:szCs w:val="30"/>
        </w:rPr>
        <w:lastRenderedPageBreak/>
        <w:t>2020</w:t>
      </w:r>
      <w:r>
        <w:rPr>
          <w:rFonts w:eastAsia="仿宋" w:hint="eastAsia"/>
          <w:sz w:val="30"/>
          <w:szCs w:val="30"/>
        </w:rPr>
        <w:t>）、《陆生野生动物尸体无害化处理技术规范》（</w:t>
      </w:r>
      <w:r>
        <w:rPr>
          <w:rFonts w:eastAsia="仿宋" w:hint="eastAsia"/>
          <w:sz w:val="30"/>
          <w:szCs w:val="30"/>
        </w:rPr>
        <w:t>DB45/T 2401-2021</w:t>
      </w:r>
      <w:r>
        <w:rPr>
          <w:rFonts w:eastAsia="仿宋" w:hint="eastAsia"/>
          <w:sz w:val="30"/>
          <w:szCs w:val="30"/>
        </w:rPr>
        <w:t>）、《动物无害化处理技术规范</w:t>
      </w:r>
      <w:r>
        <w:rPr>
          <w:rFonts w:eastAsia="仿宋" w:hint="eastAsia"/>
          <w:sz w:val="30"/>
          <w:szCs w:val="30"/>
        </w:rPr>
        <w:t xml:space="preserve"> </w:t>
      </w:r>
      <w:r>
        <w:rPr>
          <w:rFonts w:eastAsia="仿宋" w:hint="eastAsia"/>
          <w:sz w:val="30"/>
          <w:szCs w:val="30"/>
        </w:rPr>
        <w:t>第</w:t>
      </w:r>
      <w:r>
        <w:rPr>
          <w:rFonts w:eastAsia="仿宋" w:hint="eastAsia"/>
          <w:sz w:val="30"/>
          <w:szCs w:val="30"/>
        </w:rPr>
        <w:t>3</w:t>
      </w:r>
      <w:r>
        <w:rPr>
          <w:rFonts w:eastAsia="仿宋" w:hint="eastAsia"/>
          <w:sz w:val="30"/>
          <w:szCs w:val="30"/>
        </w:rPr>
        <w:t>部分：无害化处理场》（</w:t>
      </w:r>
      <w:r>
        <w:rPr>
          <w:rFonts w:eastAsia="仿宋" w:hint="eastAsia"/>
          <w:sz w:val="30"/>
          <w:szCs w:val="30"/>
        </w:rPr>
        <w:t>DB21/T 3392.3-2021</w:t>
      </w:r>
      <w:r>
        <w:rPr>
          <w:rFonts w:eastAsia="仿宋" w:hint="eastAsia"/>
          <w:sz w:val="30"/>
          <w:szCs w:val="30"/>
        </w:rPr>
        <w:t>）和《病害动物及病害动物产品无害化处理技术规程》（</w:t>
      </w:r>
      <w:r>
        <w:rPr>
          <w:rFonts w:eastAsia="仿宋" w:hint="eastAsia"/>
          <w:sz w:val="30"/>
          <w:szCs w:val="30"/>
        </w:rPr>
        <w:t>DB63/T 1652-2022</w:t>
      </w:r>
      <w:r>
        <w:rPr>
          <w:rFonts w:eastAsia="仿宋" w:hint="eastAsia"/>
          <w:sz w:val="30"/>
          <w:szCs w:val="30"/>
        </w:rPr>
        <w:t>）。</w:t>
      </w:r>
    </w:p>
    <w:p w14:paraId="386C477D"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总体上，国内尚未有动物无害化处理行业的针对性恶臭（异味）污染控制规范，国内地方性的动物无害化处理技术规范也偏重消毒和处理技术，对于动物无害化处理恶臭（异味）污染控制要求也多散落在各技术规范中，完整的动物无害化处理恶臭（异味）控制规范在国内尚属空白。</w:t>
      </w:r>
    </w:p>
    <w:p w14:paraId="2CFF6B1E"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本标准着眼于从病死及病害动物和相关动物产品收集、转运、暂存、集中处置等不同角度提高恶臭（异味）管控的规范性，提升实施质量，在充分吸收农业部与各地方标准的相关理念的基础上，紧扣关键的管理性指标，强调对恶臭（异味）污染物管控的全过程有效约束。本标准与农业部法规、上海市地方标准以及其他省市地方标准的主要异同如表</w:t>
      </w:r>
      <w:r>
        <w:rPr>
          <w:rFonts w:eastAsia="仿宋" w:hint="eastAsia"/>
          <w:sz w:val="30"/>
          <w:szCs w:val="30"/>
        </w:rPr>
        <w:t>6-1</w:t>
      </w:r>
      <w:r>
        <w:rPr>
          <w:rFonts w:eastAsia="仿宋" w:hint="eastAsia"/>
          <w:sz w:val="30"/>
          <w:szCs w:val="30"/>
        </w:rPr>
        <w:t>和表</w:t>
      </w:r>
      <w:r>
        <w:rPr>
          <w:rFonts w:eastAsia="仿宋" w:hint="eastAsia"/>
          <w:sz w:val="30"/>
          <w:szCs w:val="30"/>
        </w:rPr>
        <w:t>6-2</w:t>
      </w:r>
      <w:r>
        <w:rPr>
          <w:rFonts w:eastAsia="仿宋" w:hint="eastAsia"/>
          <w:sz w:val="30"/>
          <w:szCs w:val="30"/>
        </w:rPr>
        <w:t>所示。可以看出，本标准更加系统、全面地识别了恶臭（异味）污染物排放的关键环节，并提出相关管控措施。</w:t>
      </w:r>
    </w:p>
    <w:p w14:paraId="5DBD162B" w14:textId="77777777" w:rsidR="000E76B9" w:rsidRDefault="000E76B9">
      <w:pPr>
        <w:widowControl/>
        <w:autoSpaceDE w:val="0"/>
        <w:autoSpaceDN w:val="0"/>
        <w:spacing w:line="360" w:lineRule="auto"/>
        <w:ind w:firstLineChars="200" w:firstLine="600"/>
        <w:rPr>
          <w:rFonts w:eastAsia="仿宋"/>
          <w:sz w:val="30"/>
          <w:szCs w:val="30"/>
        </w:rPr>
        <w:sectPr w:rsidR="000E76B9">
          <w:footerReference w:type="default" r:id="rId16"/>
          <w:pgSz w:w="11906" w:h="16838"/>
          <w:pgMar w:top="1440" w:right="1803" w:bottom="1440" w:left="1803" w:header="851" w:footer="992" w:gutter="0"/>
          <w:cols w:space="0"/>
          <w:docGrid w:type="lines" w:linePitch="319"/>
        </w:sectPr>
      </w:pPr>
    </w:p>
    <w:p w14:paraId="3A085945" w14:textId="77777777" w:rsidR="000E76B9" w:rsidRDefault="00A86600">
      <w:pPr>
        <w:adjustRightInd w:val="0"/>
        <w:snapToGrid w:val="0"/>
        <w:spacing w:line="360" w:lineRule="auto"/>
        <w:jc w:val="center"/>
        <w:rPr>
          <w:rFonts w:eastAsia="仿宋"/>
          <w:b/>
          <w:bCs/>
          <w:sz w:val="28"/>
          <w:szCs w:val="28"/>
        </w:rPr>
      </w:pPr>
      <w:r>
        <w:rPr>
          <w:rFonts w:eastAsia="仿宋"/>
          <w:b/>
          <w:bCs/>
          <w:sz w:val="28"/>
          <w:szCs w:val="28"/>
        </w:rPr>
        <w:lastRenderedPageBreak/>
        <w:t>表</w:t>
      </w:r>
      <w:r>
        <w:rPr>
          <w:rFonts w:eastAsia="仿宋"/>
          <w:b/>
          <w:bCs/>
          <w:sz w:val="28"/>
          <w:szCs w:val="28"/>
        </w:rPr>
        <w:t xml:space="preserve">6-1 </w:t>
      </w:r>
      <w:r>
        <w:rPr>
          <w:rFonts w:eastAsia="仿宋"/>
          <w:b/>
          <w:bCs/>
          <w:sz w:val="28"/>
          <w:szCs w:val="28"/>
        </w:rPr>
        <w:t>本标准与国家和上海市地方标准的对比</w:t>
      </w:r>
    </w:p>
    <w:tbl>
      <w:tblPr>
        <w:tblW w:w="5179" w:type="pct"/>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917"/>
        <w:gridCol w:w="2646"/>
        <w:gridCol w:w="2646"/>
        <w:gridCol w:w="2646"/>
        <w:gridCol w:w="3016"/>
      </w:tblGrid>
      <w:tr w:rsidR="000E76B9" w14:paraId="1E34995A" w14:textId="77777777">
        <w:trPr>
          <w:trHeight w:val="723"/>
          <w:tblHeader/>
        </w:trPr>
        <w:tc>
          <w:tcPr>
            <w:tcW w:w="200" w:type="pct"/>
            <w:vAlign w:val="center"/>
          </w:tcPr>
          <w:p w14:paraId="6D558A40" w14:textId="77777777" w:rsidR="000E76B9" w:rsidRDefault="00A86600">
            <w:pPr>
              <w:snapToGrid w:val="0"/>
              <w:spacing w:line="260" w:lineRule="exact"/>
              <w:jc w:val="center"/>
              <w:rPr>
                <w:rFonts w:eastAsia="仿宋"/>
                <w:sz w:val="24"/>
                <w:szCs w:val="24"/>
              </w:rPr>
            </w:pPr>
            <w:r>
              <w:rPr>
                <w:rFonts w:eastAsia="仿宋"/>
                <w:sz w:val="24"/>
                <w:szCs w:val="24"/>
              </w:rPr>
              <w:t>内容</w:t>
            </w:r>
          </w:p>
        </w:tc>
        <w:tc>
          <w:tcPr>
            <w:tcW w:w="1009" w:type="pct"/>
            <w:vAlign w:val="center"/>
          </w:tcPr>
          <w:p w14:paraId="05A59F75" w14:textId="77777777" w:rsidR="000E76B9" w:rsidRDefault="00A86600">
            <w:pPr>
              <w:snapToGrid w:val="0"/>
              <w:spacing w:line="260" w:lineRule="exact"/>
              <w:jc w:val="center"/>
              <w:rPr>
                <w:rFonts w:eastAsia="仿宋"/>
                <w:sz w:val="24"/>
                <w:szCs w:val="24"/>
              </w:rPr>
            </w:pPr>
            <w:r>
              <w:rPr>
                <w:rFonts w:eastAsia="仿宋"/>
                <w:sz w:val="24"/>
                <w:szCs w:val="24"/>
              </w:rPr>
              <w:t>本规范</w:t>
            </w:r>
          </w:p>
        </w:tc>
        <w:tc>
          <w:tcPr>
            <w:tcW w:w="915" w:type="pct"/>
            <w:vAlign w:val="center"/>
          </w:tcPr>
          <w:p w14:paraId="3DE2F5B0" w14:textId="77777777" w:rsidR="000E76B9" w:rsidRDefault="00A86600">
            <w:pPr>
              <w:snapToGrid w:val="0"/>
              <w:spacing w:line="260" w:lineRule="exact"/>
              <w:jc w:val="center"/>
              <w:rPr>
                <w:rFonts w:eastAsia="仿宋"/>
                <w:sz w:val="24"/>
                <w:szCs w:val="24"/>
              </w:rPr>
            </w:pPr>
            <w:r>
              <w:rPr>
                <w:rFonts w:eastAsia="仿宋"/>
                <w:sz w:val="24"/>
                <w:szCs w:val="24"/>
              </w:rPr>
              <w:t>《病死及病害动物无害化处理技术规范》</w:t>
            </w:r>
          </w:p>
          <w:p w14:paraId="46F844E4" w14:textId="77777777" w:rsidR="000E76B9" w:rsidRDefault="00A86600">
            <w:pPr>
              <w:snapToGrid w:val="0"/>
              <w:spacing w:line="260" w:lineRule="exact"/>
              <w:jc w:val="center"/>
              <w:rPr>
                <w:rFonts w:eastAsia="仿宋"/>
                <w:sz w:val="24"/>
                <w:szCs w:val="24"/>
              </w:rPr>
            </w:pPr>
            <w:r>
              <w:rPr>
                <w:rFonts w:eastAsia="仿宋"/>
                <w:sz w:val="24"/>
                <w:szCs w:val="24"/>
              </w:rPr>
              <w:t>农医发</w:t>
            </w:r>
            <w:r>
              <w:rPr>
                <w:rFonts w:eastAsia="仿宋"/>
                <w:sz w:val="24"/>
                <w:szCs w:val="24"/>
              </w:rPr>
              <w:t>[2017]25</w:t>
            </w:r>
            <w:r>
              <w:rPr>
                <w:rFonts w:eastAsia="仿宋"/>
                <w:sz w:val="24"/>
                <w:szCs w:val="24"/>
              </w:rPr>
              <w:t>号</w:t>
            </w:r>
          </w:p>
        </w:tc>
        <w:tc>
          <w:tcPr>
            <w:tcW w:w="915" w:type="pct"/>
            <w:vAlign w:val="center"/>
          </w:tcPr>
          <w:p w14:paraId="3D77C482" w14:textId="77777777" w:rsidR="000E76B9" w:rsidRDefault="00A86600">
            <w:pPr>
              <w:snapToGrid w:val="0"/>
              <w:spacing w:line="260" w:lineRule="exact"/>
              <w:jc w:val="center"/>
              <w:rPr>
                <w:rFonts w:eastAsia="仿宋"/>
                <w:sz w:val="24"/>
                <w:szCs w:val="24"/>
              </w:rPr>
            </w:pPr>
            <w:r>
              <w:rPr>
                <w:rFonts w:eastAsia="仿宋"/>
                <w:sz w:val="24"/>
                <w:szCs w:val="24"/>
              </w:rPr>
              <w:t>《动物无害化集中处理场所通用技术规范》</w:t>
            </w:r>
          </w:p>
          <w:p w14:paraId="36BA755C" w14:textId="77777777" w:rsidR="000E76B9" w:rsidRDefault="00A86600">
            <w:pPr>
              <w:snapToGrid w:val="0"/>
              <w:spacing w:line="260" w:lineRule="exact"/>
              <w:jc w:val="center"/>
              <w:rPr>
                <w:rFonts w:eastAsia="仿宋"/>
                <w:sz w:val="24"/>
                <w:szCs w:val="24"/>
              </w:rPr>
            </w:pPr>
            <w:r>
              <w:rPr>
                <w:rFonts w:eastAsia="仿宋"/>
                <w:sz w:val="24"/>
                <w:szCs w:val="24"/>
              </w:rPr>
              <w:t>DB31/T 821-2014</w:t>
            </w:r>
          </w:p>
        </w:tc>
        <w:tc>
          <w:tcPr>
            <w:tcW w:w="915" w:type="pct"/>
            <w:vAlign w:val="center"/>
          </w:tcPr>
          <w:p w14:paraId="2A3524DD" w14:textId="77777777" w:rsidR="000E76B9" w:rsidRDefault="00A86600">
            <w:pPr>
              <w:snapToGrid w:val="0"/>
              <w:spacing w:line="260" w:lineRule="exact"/>
              <w:jc w:val="center"/>
              <w:rPr>
                <w:rFonts w:eastAsia="仿宋"/>
                <w:sz w:val="24"/>
                <w:szCs w:val="24"/>
              </w:rPr>
            </w:pPr>
            <w:r>
              <w:rPr>
                <w:rFonts w:eastAsia="仿宋"/>
                <w:sz w:val="24"/>
                <w:szCs w:val="24"/>
              </w:rPr>
              <w:t>《动物无害化收集场所通用技术规范》</w:t>
            </w:r>
          </w:p>
          <w:p w14:paraId="53D3EEFA" w14:textId="77777777" w:rsidR="000E76B9" w:rsidRDefault="00A86600">
            <w:pPr>
              <w:snapToGrid w:val="0"/>
              <w:spacing w:line="260" w:lineRule="exact"/>
              <w:jc w:val="center"/>
              <w:rPr>
                <w:rFonts w:eastAsia="仿宋"/>
                <w:sz w:val="24"/>
                <w:szCs w:val="24"/>
              </w:rPr>
            </w:pPr>
            <w:r>
              <w:rPr>
                <w:rFonts w:eastAsia="仿宋"/>
                <w:sz w:val="24"/>
                <w:szCs w:val="24"/>
              </w:rPr>
              <w:t>DB31/T 953-2015</w:t>
            </w:r>
          </w:p>
        </w:tc>
        <w:tc>
          <w:tcPr>
            <w:tcW w:w="1043" w:type="pct"/>
            <w:vAlign w:val="center"/>
          </w:tcPr>
          <w:p w14:paraId="0483CB9C" w14:textId="77777777" w:rsidR="000E76B9" w:rsidRDefault="00A86600">
            <w:pPr>
              <w:snapToGrid w:val="0"/>
              <w:spacing w:line="260" w:lineRule="exact"/>
              <w:jc w:val="center"/>
              <w:rPr>
                <w:rFonts w:eastAsia="仿宋"/>
                <w:sz w:val="24"/>
                <w:szCs w:val="24"/>
              </w:rPr>
            </w:pPr>
            <w:r>
              <w:rPr>
                <w:rFonts w:eastAsia="仿宋"/>
                <w:sz w:val="24"/>
                <w:szCs w:val="24"/>
              </w:rPr>
              <w:t>《动物无害化收集转运技术规范》</w:t>
            </w:r>
          </w:p>
          <w:p w14:paraId="4F26CA88" w14:textId="77777777" w:rsidR="000E76B9" w:rsidRDefault="00A86600">
            <w:pPr>
              <w:snapToGrid w:val="0"/>
              <w:spacing w:line="260" w:lineRule="exact"/>
              <w:jc w:val="center"/>
              <w:rPr>
                <w:rFonts w:eastAsia="仿宋"/>
                <w:sz w:val="24"/>
                <w:szCs w:val="24"/>
              </w:rPr>
            </w:pPr>
            <w:r>
              <w:rPr>
                <w:rFonts w:eastAsia="仿宋"/>
                <w:sz w:val="24"/>
                <w:szCs w:val="24"/>
              </w:rPr>
              <w:t>DB31/T 1004-2016</w:t>
            </w:r>
          </w:p>
        </w:tc>
      </w:tr>
      <w:tr w:rsidR="000E76B9" w14:paraId="4AC1080D" w14:textId="77777777">
        <w:trPr>
          <w:trHeight w:val="453"/>
        </w:trPr>
        <w:tc>
          <w:tcPr>
            <w:tcW w:w="200" w:type="pct"/>
            <w:vAlign w:val="center"/>
          </w:tcPr>
          <w:p w14:paraId="62EBD248" w14:textId="77777777" w:rsidR="000E76B9" w:rsidRDefault="00A86600">
            <w:pPr>
              <w:snapToGrid w:val="0"/>
              <w:spacing w:line="260" w:lineRule="exact"/>
              <w:jc w:val="left"/>
              <w:rPr>
                <w:rFonts w:eastAsia="仿宋"/>
                <w:sz w:val="24"/>
                <w:szCs w:val="24"/>
              </w:rPr>
            </w:pPr>
            <w:r>
              <w:rPr>
                <w:rFonts w:eastAsia="仿宋"/>
                <w:sz w:val="24"/>
                <w:szCs w:val="24"/>
              </w:rPr>
              <w:t>选址</w:t>
            </w:r>
          </w:p>
        </w:tc>
        <w:tc>
          <w:tcPr>
            <w:tcW w:w="1009" w:type="pct"/>
            <w:vAlign w:val="center"/>
          </w:tcPr>
          <w:p w14:paraId="0BEF0407" w14:textId="77777777" w:rsidR="000E76B9" w:rsidRDefault="00A86600">
            <w:pPr>
              <w:snapToGrid w:val="0"/>
              <w:spacing w:line="260" w:lineRule="exact"/>
              <w:jc w:val="left"/>
              <w:rPr>
                <w:rFonts w:eastAsia="仿宋"/>
                <w:sz w:val="24"/>
                <w:szCs w:val="24"/>
              </w:rPr>
            </w:pPr>
            <w:r>
              <w:rPr>
                <w:rFonts w:eastAsia="仿宋"/>
                <w:sz w:val="24"/>
                <w:szCs w:val="24"/>
              </w:rPr>
              <w:t xml:space="preserve">4.1.1 </w:t>
            </w:r>
            <w:r>
              <w:rPr>
                <w:rFonts w:eastAsia="仿宋"/>
                <w:sz w:val="24"/>
                <w:szCs w:val="24"/>
              </w:rPr>
              <w:t>动物无害化区域性集中收集场所及动物无害化处理场所（以下简称</w:t>
            </w:r>
            <w:r>
              <w:rPr>
                <w:rFonts w:eastAsia="仿宋"/>
                <w:sz w:val="24"/>
                <w:szCs w:val="24"/>
              </w:rPr>
              <w:t>“</w:t>
            </w:r>
            <w:r>
              <w:rPr>
                <w:rFonts w:eastAsia="仿宋"/>
                <w:sz w:val="24"/>
                <w:szCs w:val="24"/>
              </w:rPr>
              <w:t>无害化收集和集中处理场所</w:t>
            </w:r>
            <w:r>
              <w:rPr>
                <w:rFonts w:eastAsia="仿宋"/>
                <w:sz w:val="24"/>
                <w:szCs w:val="24"/>
              </w:rPr>
              <w:t>”</w:t>
            </w:r>
            <w:r>
              <w:rPr>
                <w:rFonts w:eastAsia="仿宋"/>
                <w:sz w:val="24"/>
                <w:szCs w:val="24"/>
              </w:rPr>
              <w:t>）的选址和布局，应符合本市农业布局规划、土地利用总体规划、城乡一体化发展规划和环境保护规划要求，以及农业农村部的相关规定。</w:t>
            </w:r>
          </w:p>
          <w:p w14:paraId="6B7A3B49" w14:textId="77777777" w:rsidR="000E76B9" w:rsidRDefault="00A86600">
            <w:pPr>
              <w:snapToGrid w:val="0"/>
              <w:spacing w:line="260" w:lineRule="exact"/>
              <w:jc w:val="left"/>
              <w:rPr>
                <w:rFonts w:eastAsia="仿宋"/>
                <w:sz w:val="24"/>
                <w:szCs w:val="24"/>
              </w:rPr>
            </w:pPr>
            <w:r>
              <w:rPr>
                <w:rFonts w:eastAsia="仿宋"/>
                <w:sz w:val="24"/>
                <w:szCs w:val="24"/>
              </w:rPr>
              <w:t xml:space="preserve">4.1.2 </w:t>
            </w:r>
            <w:r>
              <w:rPr>
                <w:rFonts w:eastAsia="仿宋"/>
                <w:sz w:val="24"/>
                <w:szCs w:val="24"/>
              </w:rPr>
              <w:t>无害化收集和集中处理场所不应在自然保护区、风景名胜区、水源保护区和其它需特别保护的区域建设。</w:t>
            </w:r>
          </w:p>
          <w:p w14:paraId="4B4148F1" w14:textId="77777777" w:rsidR="000E76B9" w:rsidRDefault="00A86600">
            <w:pPr>
              <w:snapToGrid w:val="0"/>
              <w:spacing w:line="260" w:lineRule="exact"/>
              <w:jc w:val="left"/>
              <w:rPr>
                <w:rFonts w:eastAsia="仿宋"/>
                <w:sz w:val="24"/>
                <w:szCs w:val="24"/>
              </w:rPr>
            </w:pPr>
            <w:r>
              <w:rPr>
                <w:rFonts w:eastAsia="仿宋"/>
                <w:sz w:val="24"/>
                <w:szCs w:val="24"/>
              </w:rPr>
              <w:t xml:space="preserve">4.1.3 </w:t>
            </w:r>
            <w:r>
              <w:rPr>
                <w:rFonts w:eastAsia="仿宋"/>
                <w:sz w:val="24"/>
                <w:szCs w:val="24"/>
              </w:rPr>
              <w:t>无害化收集和集中处理场所应选址于集中式居民生活区等环境敏感区主导风向或最大风频下风向。</w:t>
            </w:r>
          </w:p>
          <w:p w14:paraId="22983545" w14:textId="77777777" w:rsidR="000E76B9" w:rsidRDefault="00A86600">
            <w:pPr>
              <w:snapToGrid w:val="0"/>
              <w:spacing w:line="260" w:lineRule="exact"/>
              <w:jc w:val="left"/>
              <w:rPr>
                <w:rFonts w:eastAsia="仿宋"/>
                <w:sz w:val="24"/>
                <w:szCs w:val="24"/>
              </w:rPr>
            </w:pPr>
            <w:r>
              <w:rPr>
                <w:rFonts w:eastAsia="仿宋"/>
                <w:sz w:val="24"/>
                <w:szCs w:val="24"/>
              </w:rPr>
              <w:t xml:space="preserve">4.1.4 </w:t>
            </w:r>
            <w:r>
              <w:rPr>
                <w:rFonts w:eastAsia="仿宋"/>
                <w:sz w:val="24"/>
                <w:szCs w:val="24"/>
              </w:rPr>
              <w:t>无害化收集和集中处理场所应与动物饲养场、动物隔离场所、动物屠宰加工场所、动物诊疗场所、居民生活区、饮用水源地、学校、医院等公</w:t>
            </w:r>
            <w:r>
              <w:rPr>
                <w:rFonts w:eastAsia="仿宋"/>
                <w:sz w:val="24"/>
                <w:szCs w:val="24"/>
              </w:rPr>
              <w:lastRenderedPageBreak/>
              <w:t>共场所之间保持必要的距离，具体距离要求应结合环境影响评价文件要求执行。</w:t>
            </w:r>
          </w:p>
        </w:tc>
        <w:tc>
          <w:tcPr>
            <w:tcW w:w="915" w:type="pct"/>
            <w:vAlign w:val="center"/>
          </w:tcPr>
          <w:p w14:paraId="44406B3D"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4.4.2.1 </w:t>
            </w:r>
            <w:r>
              <w:rPr>
                <w:rFonts w:eastAsia="仿宋"/>
                <w:sz w:val="24"/>
                <w:szCs w:val="24"/>
              </w:rPr>
              <w:t>应选择地势高燥，处于下风向的地点。</w:t>
            </w:r>
          </w:p>
          <w:p w14:paraId="765ECE76" w14:textId="77777777" w:rsidR="000E76B9" w:rsidRDefault="00A86600">
            <w:pPr>
              <w:snapToGrid w:val="0"/>
              <w:spacing w:line="260" w:lineRule="exact"/>
              <w:jc w:val="left"/>
              <w:rPr>
                <w:rFonts w:eastAsia="仿宋"/>
                <w:sz w:val="24"/>
                <w:szCs w:val="24"/>
              </w:rPr>
            </w:pPr>
            <w:r>
              <w:rPr>
                <w:rFonts w:eastAsia="仿宋"/>
                <w:sz w:val="24"/>
                <w:szCs w:val="24"/>
              </w:rPr>
              <w:t xml:space="preserve">4.4.2.2 </w:t>
            </w:r>
            <w:r>
              <w:rPr>
                <w:rFonts w:eastAsia="仿宋"/>
                <w:sz w:val="24"/>
                <w:szCs w:val="24"/>
              </w:rPr>
              <w:t>应远离学校、公共场所、居民住宅区、村庄、动物饲养和屠宰场所、饮用水源地、河流等地区。</w:t>
            </w:r>
          </w:p>
        </w:tc>
        <w:tc>
          <w:tcPr>
            <w:tcW w:w="915" w:type="pct"/>
            <w:vAlign w:val="center"/>
          </w:tcPr>
          <w:p w14:paraId="2E2373C3" w14:textId="77777777" w:rsidR="000E76B9" w:rsidRDefault="00A86600">
            <w:pPr>
              <w:snapToGrid w:val="0"/>
              <w:spacing w:line="260" w:lineRule="exact"/>
              <w:jc w:val="left"/>
              <w:rPr>
                <w:rFonts w:eastAsia="仿宋"/>
                <w:sz w:val="24"/>
                <w:szCs w:val="24"/>
              </w:rPr>
            </w:pPr>
            <w:r>
              <w:rPr>
                <w:rFonts w:eastAsia="仿宋"/>
                <w:sz w:val="24"/>
                <w:szCs w:val="24"/>
              </w:rPr>
              <w:t xml:space="preserve">4.1 </w:t>
            </w:r>
            <w:r>
              <w:rPr>
                <w:rFonts w:eastAsia="仿宋"/>
                <w:sz w:val="24"/>
                <w:szCs w:val="24"/>
              </w:rPr>
              <w:t>应符合本市农业布局规划、土地利用总体规划、城乡一体化发展规划和环境保护规划要求。</w:t>
            </w:r>
          </w:p>
          <w:p w14:paraId="211CD316" w14:textId="77777777" w:rsidR="000E76B9" w:rsidRDefault="00A86600">
            <w:pPr>
              <w:snapToGrid w:val="0"/>
              <w:spacing w:line="260" w:lineRule="exact"/>
              <w:jc w:val="left"/>
              <w:rPr>
                <w:rFonts w:eastAsia="仿宋"/>
                <w:sz w:val="24"/>
                <w:szCs w:val="24"/>
              </w:rPr>
            </w:pPr>
            <w:r>
              <w:rPr>
                <w:rFonts w:eastAsia="仿宋"/>
                <w:sz w:val="24"/>
                <w:szCs w:val="24"/>
              </w:rPr>
              <w:t xml:space="preserve">4.2 </w:t>
            </w:r>
            <w:r>
              <w:rPr>
                <w:rFonts w:eastAsia="仿宋"/>
                <w:sz w:val="24"/>
                <w:szCs w:val="24"/>
              </w:rPr>
              <w:t>禁止在自然保护区、风景名胜区、水源保护区和其他需特别保护的区域建设。</w:t>
            </w:r>
          </w:p>
          <w:p w14:paraId="69DAC543" w14:textId="77777777" w:rsidR="000E76B9" w:rsidRDefault="00A86600">
            <w:pPr>
              <w:snapToGrid w:val="0"/>
              <w:spacing w:line="260" w:lineRule="exact"/>
              <w:jc w:val="left"/>
              <w:rPr>
                <w:rFonts w:eastAsia="仿宋"/>
                <w:sz w:val="24"/>
                <w:szCs w:val="24"/>
              </w:rPr>
            </w:pPr>
            <w:r>
              <w:rPr>
                <w:rFonts w:eastAsia="仿宋"/>
                <w:sz w:val="24"/>
                <w:szCs w:val="24"/>
              </w:rPr>
              <w:t xml:space="preserve">4.3 </w:t>
            </w:r>
            <w:r>
              <w:rPr>
                <w:rFonts w:eastAsia="仿宋"/>
                <w:sz w:val="24"/>
                <w:szCs w:val="24"/>
              </w:rPr>
              <w:t>应位于居民区及公共建筑群常年主导风向的下风向处。</w:t>
            </w:r>
          </w:p>
          <w:p w14:paraId="08CE861E" w14:textId="77777777" w:rsidR="000E76B9" w:rsidRDefault="00A86600">
            <w:pPr>
              <w:snapToGrid w:val="0"/>
              <w:spacing w:line="260" w:lineRule="exact"/>
              <w:jc w:val="left"/>
              <w:rPr>
                <w:rFonts w:eastAsia="仿宋"/>
                <w:sz w:val="24"/>
                <w:szCs w:val="24"/>
              </w:rPr>
            </w:pPr>
            <w:r>
              <w:rPr>
                <w:rFonts w:eastAsia="仿宋"/>
                <w:sz w:val="24"/>
                <w:szCs w:val="24"/>
              </w:rPr>
              <w:t xml:space="preserve">4.4 </w:t>
            </w:r>
            <w:r>
              <w:rPr>
                <w:rFonts w:eastAsia="仿宋"/>
                <w:sz w:val="24"/>
                <w:szCs w:val="24"/>
              </w:rPr>
              <w:t>应距离动物养殖场、养殖小区、种畜禽场、动物屠宰加工场所、动物隔离场所、动物诊疗场所、动物和动物产品集贸市场、生活饮用水源地</w:t>
            </w:r>
            <w:r>
              <w:rPr>
                <w:rFonts w:eastAsia="仿宋"/>
                <w:sz w:val="24"/>
                <w:szCs w:val="24"/>
              </w:rPr>
              <w:t>3000m</w:t>
            </w:r>
            <w:r>
              <w:rPr>
                <w:rFonts w:eastAsia="仿宋"/>
                <w:sz w:val="24"/>
                <w:szCs w:val="24"/>
              </w:rPr>
              <w:t>以上。</w:t>
            </w:r>
          </w:p>
          <w:p w14:paraId="75FBDA27" w14:textId="77777777" w:rsidR="000E76B9" w:rsidRDefault="00A86600">
            <w:pPr>
              <w:snapToGrid w:val="0"/>
              <w:spacing w:line="260" w:lineRule="exact"/>
              <w:jc w:val="left"/>
              <w:rPr>
                <w:rFonts w:eastAsia="仿宋"/>
                <w:sz w:val="24"/>
                <w:szCs w:val="24"/>
              </w:rPr>
            </w:pPr>
            <w:r>
              <w:rPr>
                <w:rFonts w:eastAsia="仿宋"/>
                <w:sz w:val="24"/>
                <w:szCs w:val="24"/>
              </w:rPr>
              <w:t xml:space="preserve">4.5 </w:t>
            </w:r>
            <w:r>
              <w:rPr>
                <w:rFonts w:eastAsia="仿宋"/>
                <w:sz w:val="24"/>
                <w:szCs w:val="24"/>
              </w:rPr>
              <w:t>应距离城镇居民区、文化教育科研等人口集中区域及公路、铁路等主要交通干线</w:t>
            </w:r>
            <w:r>
              <w:rPr>
                <w:rFonts w:eastAsia="仿宋"/>
                <w:sz w:val="24"/>
                <w:szCs w:val="24"/>
              </w:rPr>
              <w:t>500m</w:t>
            </w:r>
            <w:r>
              <w:rPr>
                <w:rFonts w:eastAsia="仿宋"/>
                <w:sz w:val="24"/>
                <w:szCs w:val="24"/>
              </w:rPr>
              <w:t>以上。</w:t>
            </w:r>
          </w:p>
          <w:p w14:paraId="59ECFF48" w14:textId="77777777" w:rsidR="000E76B9" w:rsidRDefault="000E76B9">
            <w:pPr>
              <w:snapToGrid w:val="0"/>
              <w:spacing w:line="260" w:lineRule="exact"/>
              <w:jc w:val="left"/>
              <w:rPr>
                <w:rFonts w:eastAsia="仿宋"/>
                <w:sz w:val="24"/>
                <w:szCs w:val="24"/>
              </w:rPr>
            </w:pPr>
          </w:p>
        </w:tc>
        <w:tc>
          <w:tcPr>
            <w:tcW w:w="915" w:type="pct"/>
            <w:vAlign w:val="center"/>
          </w:tcPr>
          <w:p w14:paraId="740A4365" w14:textId="77777777" w:rsidR="000E76B9" w:rsidRDefault="00A86600">
            <w:pPr>
              <w:snapToGrid w:val="0"/>
              <w:spacing w:line="260" w:lineRule="exact"/>
              <w:jc w:val="left"/>
              <w:rPr>
                <w:rFonts w:eastAsia="仿宋"/>
                <w:sz w:val="24"/>
                <w:szCs w:val="24"/>
              </w:rPr>
            </w:pPr>
            <w:r>
              <w:rPr>
                <w:rFonts w:eastAsia="仿宋"/>
                <w:sz w:val="24"/>
                <w:szCs w:val="24"/>
              </w:rPr>
              <w:t xml:space="preserve">4.1 </w:t>
            </w:r>
            <w:r>
              <w:rPr>
                <w:rFonts w:eastAsia="仿宋"/>
                <w:sz w:val="24"/>
                <w:szCs w:val="24"/>
              </w:rPr>
              <w:t>规模化养殖场自设的收集房</w:t>
            </w:r>
          </w:p>
          <w:p w14:paraId="48C87C84" w14:textId="77777777" w:rsidR="000E76B9" w:rsidRDefault="00A86600">
            <w:pPr>
              <w:snapToGrid w:val="0"/>
              <w:spacing w:line="260" w:lineRule="exact"/>
              <w:jc w:val="left"/>
              <w:rPr>
                <w:rFonts w:eastAsia="仿宋"/>
                <w:sz w:val="24"/>
                <w:szCs w:val="24"/>
              </w:rPr>
            </w:pPr>
            <w:r>
              <w:rPr>
                <w:rFonts w:eastAsia="仿宋"/>
                <w:sz w:val="24"/>
                <w:szCs w:val="24"/>
              </w:rPr>
              <w:t xml:space="preserve">4.1.1 </w:t>
            </w:r>
            <w:r>
              <w:rPr>
                <w:rFonts w:eastAsia="仿宋"/>
                <w:sz w:val="24"/>
                <w:szCs w:val="24"/>
              </w:rPr>
              <w:t>应位于场区常年主导风向或最大风频的下风向。</w:t>
            </w:r>
          </w:p>
          <w:p w14:paraId="4E5DB37C" w14:textId="77777777" w:rsidR="000E76B9" w:rsidRDefault="00A86600">
            <w:pPr>
              <w:snapToGrid w:val="0"/>
              <w:spacing w:line="260" w:lineRule="exact"/>
              <w:jc w:val="left"/>
              <w:rPr>
                <w:rFonts w:eastAsia="仿宋"/>
                <w:sz w:val="24"/>
                <w:szCs w:val="24"/>
              </w:rPr>
            </w:pPr>
            <w:r>
              <w:rPr>
                <w:rFonts w:eastAsia="仿宋"/>
                <w:sz w:val="24"/>
                <w:szCs w:val="24"/>
              </w:rPr>
              <w:t xml:space="preserve">4.2 </w:t>
            </w:r>
            <w:r>
              <w:rPr>
                <w:rFonts w:eastAsia="仿宋"/>
                <w:sz w:val="24"/>
                <w:szCs w:val="24"/>
              </w:rPr>
              <w:t>区域性集中收集场所</w:t>
            </w:r>
          </w:p>
          <w:p w14:paraId="7BBB8C96" w14:textId="77777777" w:rsidR="000E76B9" w:rsidRDefault="00A86600">
            <w:pPr>
              <w:snapToGrid w:val="0"/>
              <w:spacing w:line="260" w:lineRule="exact"/>
              <w:jc w:val="left"/>
              <w:rPr>
                <w:rFonts w:eastAsia="仿宋"/>
                <w:sz w:val="24"/>
                <w:szCs w:val="24"/>
              </w:rPr>
            </w:pPr>
            <w:r>
              <w:rPr>
                <w:rFonts w:eastAsia="仿宋"/>
                <w:sz w:val="24"/>
                <w:szCs w:val="24"/>
              </w:rPr>
              <w:t xml:space="preserve">4.2.2 </w:t>
            </w:r>
            <w:r>
              <w:rPr>
                <w:rFonts w:eastAsia="仿宋"/>
                <w:sz w:val="24"/>
                <w:szCs w:val="24"/>
              </w:rPr>
              <w:t>应与规模化养殖场、动物隔离场所、动物诊疗场所保持</w:t>
            </w:r>
            <w:r>
              <w:rPr>
                <w:rFonts w:eastAsia="仿宋"/>
                <w:sz w:val="24"/>
                <w:szCs w:val="24"/>
              </w:rPr>
              <w:t>1000m</w:t>
            </w:r>
            <w:r>
              <w:rPr>
                <w:rFonts w:eastAsia="仿宋"/>
                <w:sz w:val="24"/>
                <w:szCs w:val="24"/>
              </w:rPr>
              <w:t>以上距离；应与城镇居民区、文化教育科研等人口集中区域及公路、铁路等主要交通干线保持</w:t>
            </w:r>
            <w:r>
              <w:rPr>
                <w:rFonts w:eastAsia="仿宋"/>
                <w:sz w:val="24"/>
                <w:szCs w:val="24"/>
              </w:rPr>
              <w:t>500m</w:t>
            </w:r>
            <w:r>
              <w:rPr>
                <w:rFonts w:eastAsia="仿宋"/>
                <w:sz w:val="24"/>
                <w:szCs w:val="24"/>
              </w:rPr>
              <w:t>以上距离。</w:t>
            </w:r>
          </w:p>
        </w:tc>
        <w:tc>
          <w:tcPr>
            <w:tcW w:w="1043" w:type="pct"/>
            <w:vAlign w:val="center"/>
          </w:tcPr>
          <w:p w14:paraId="650D4FF3" w14:textId="77777777" w:rsidR="000E76B9" w:rsidRDefault="00A86600">
            <w:pPr>
              <w:snapToGrid w:val="0"/>
              <w:spacing w:line="260" w:lineRule="exact"/>
              <w:jc w:val="left"/>
              <w:rPr>
                <w:rFonts w:eastAsia="仿宋"/>
                <w:sz w:val="24"/>
                <w:szCs w:val="24"/>
              </w:rPr>
            </w:pPr>
            <w:r>
              <w:rPr>
                <w:rFonts w:eastAsia="仿宋"/>
                <w:sz w:val="24"/>
                <w:szCs w:val="24"/>
              </w:rPr>
              <w:t>/</w:t>
            </w:r>
          </w:p>
        </w:tc>
      </w:tr>
      <w:tr w:rsidR="000E76B9" w14:paraId="4B927EFB" w14:textId="77777777">
        <w:trPr>
          <w:trHeight w:val="453"/>
        </w:trPr>
        <w:tc>
          <w:tcPr>
            <w:tcW w:w="200" w:type="pct"/>
            <w:vAlign w:val="center"/>
          </w:tcPr>
          <w:p w14:paraId="6A5EAE57" w14:textId="77777777" w:rsidR="000E76B9" w:rsidRDefault="00A86600">
            <w:pPr>
              <w:snapToGrid w:val="0"/>
              <w:spacing w:line="260" w:lineRule="exact"/>
              <w:jc w:val="left"/>
              <w:rPr>
                <w:rFonts w:eastAsia="仿宋"/>
                <w:sz w:val="24"/>
                <w:szCs w:val="24"/>
              </w:rPr>
            </w:pPr>
            <w:r>
              <w:rPr>
                <w:rFonts w:eastAsia="仿宋"/>
                <w:sz w:val="24"/>
                <w:szCs w:val="24"/>
              </w:rPr>
              <w:t>布局</w:t>
            </w:r>
          </w:p>
        </w:tc>
        <w:tc>
          <w:tcPr>
            <w:tcW w:w="1009" w:type="pct"/>
            <w:vAlign w:val="center"/>
          </w:tcPr>
          <w:p w14:paraId="4D5334B8" w14:textId="77777777" w:rsidR="000E76B9" w:rsidRDefault="00A86600">
            <w:pPr>
              <w:snapToGrid w:val="0"/>
              <w:spacing w:line="260" w:lineRule="exact"/>
              <w:jc w:val="left"/>
              <w:rPr>
                <w:rFonts w:eastAsia="仿宋"/>
                <w:sz w:val="24"/>
                <w:szCs w:val="24"/>
              </w:rPr>
            </w:pPr>
            <w:r>
              <w:rPr>
                <w:rFonts w:eastAsia="仿宋"/>
                <w:sz w:val="24"/>
                <w:szCs w:val="24"/>
              </w:rPr>
              <w:t xml:space="preserve">4.1.5 </w:t>
            </w:r>
            <w:r>
              <w:rPr>
                <w:rFonts w:eastAsia="仿宋"/>
                <w:sz w:val="24"/>
                <w:szCs w:val="24"/>
              </w:rPr>
              <w:t>无害化收集和集中处理场所的冷库、车辆清洗消毒区、卸料及进料大厅、物料切割处理间、物料储坑及污水处理设施等产生恶臭（异味）污染源的场所应合理布局，远离周边环境敏感区及厂区内办公生活区。</w:t>
            </w:r>
          </w:p>
          <w:p w14:paraId="0C1A4D04" w14:textId="77777777" w:rsidR="000E76B9" w:rsidRDefault="00A86600">
            <w:pPr>
              <w:snapToGrid w:val="0"/>
              <w:spacing w:line="260" w:lineRule="exact"/>
              <w:jc w:val="left"/>
              <w:rPr>
                <w:rFonts w:eastAsia="仿宋"/>
                <w:sz w:val="24"/>
                <w:szCs w:val="24"/>
              </w:rPr>
            </w:pPr>
            <w:r>
              <w:rPr>
                <w:rFonts w:eastAsia="仿宋"/>
                <w:sz w:val="24"/>
                <w:szCs w:val="24"/>
              </w:rPr>
              <w:t xml:space="preserve">4.1.6 </w:t>
            </w:r>
            <w:r>
              <w:rPr>
                <w:rFonts w:eastAsia="仿宋"/>
                <w:sz w:val="24"/>
                <w:szCs w:val="24"/>
              </w:rPr>
              <w:t>动物无害化收集场所厂区周围应设置高度不低于</w:t>
            </w:r>
            <w:r>
              <w:rPr>
                <w:rFonts w:eastAsia="仿宋"/>
                <w:sz w:val="24"/>
                <w:szCs w:val="24"/>
              </w:rPr>
              <w:t>2m</w:t>
            </w:r>
            <w:r>
              <w:rPr>
                <w:rFonts w:eastAsia="仿宋"/>
                <w:sz w:val="24"/>
                <w:szCs w:val="24"/>
              </w:rPr>
              <w:t>的实体围墙或隔离栏，墙外宜设绿化缓冲隔离带。</w:t>
            </w:r>
          </w:p>
        </w:tc>
        <w:tc>
          <w:tcPr>
            <w:tcW w:w="915" w:type="pct"/>
            <w:vAlign w:val="center"/>
          </w:tcPr>
          <w:p w14:paraId="68094195"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915" w:type="pct"/>
            <w:vAlign w:val="center"/>
          </w:tcPr>
          <w:p w14:paraId="4625D4A2" w14:textId="77777777" w:rsidR="000E76B9" w:rsidRDefault="00A86600">
            <w:pPr>
              <w:snapToGrid w:val="0"/>
              <w:spacing w:line="260" w:lineRule="exact"/>
              <w:jc w:val="left"/>
              <w:rPr>
                <w:rFonts w:eastAsia="仿宋"/>
                <w:sz w:val="24"/>
                <w:szCs w:val="24"/>
              </w:rPr>
            </w:pPr>
            <w:r>
              <w:rPr>
                <w:rFonts w:eastAsia="仿宋"/>
                <w:sz w:val="24"/>
                <w:szCs w:val="24"/>
              </w:rPr>
              <w:t xml:space="preserve">5.3 </w:t>
            </w:r>
            <w:r>
              <w:rPr>
                <w:rFonts w:eastAsia="仿宋"/>
                <w:sz w:val="24"/>
                <w:szCs w:val="24"/>
              </w:rPr>
              <w:t>场内布局应科学合理，一般分为办公生活区、生产区、化验区、防缓冲区。</w:t>
            </w:r>
          </w:p>
          <w:p w14:paraId="345B2D15" w14:textId="77777777" w:rsidR="000E76B9" w:rsidRDefault="00A86600">
            <w:pPr>
              <w:snapToGrid w:val="0"/>
              <w:spacing w:line="260" w:lineRule="exact"/>
              <w:jc w:val="left"/>
              <w:rPr>
                <w:rFonts w:eastAsia="仿宋"/>
                <w:sz w:val="24"/>
                <w:szCs w:val="24"/>
              </w:rPr>
            </w:pPr>
            <w:r>
              <w:rPr>
                <w:rFonts w:eastAsia="仿宋"/>
                <w:sz w:val="24"/>
                <w:szCs w:val="24"/>
              </w:rPr>
              <w:t xml:space="preserve">5.3.1 </w:t>
            </w:r>
            <w:r>
              <w:rPr>
                <w:rFonts w:eastAsia="仿宋"/>
                <w:sz w:val="24"/>
                <w:szCs w:val="24"/>
              </w:rPr>
              <w:t>办公生活区应位于生产区上风处。</w:t>
            </w:r>
          </w:p>
        </w:tc>
        <w:tc>
          <w:tcPr>
            <w:tcW w:w="915" w:type="pct"/>
            <w:vAlign w:val="center"/>
          </w:tcPr>
          <w:p w14:paraId="28DD5D7D" w14:textId="77777777" w:rsidR="000E76B9" w:rsidRDefault="00A86600">
            <w:pPr>
              <w:snapToGrid w:val="0"/>
              <w:spacing w:line="260" w:lineRule="exact"/>
              <w:jc w:val="left"/>
              <w:rPr>
                <w:rFonts w:eastAsia="仿宋"/>
                <w:sz w:val="24"/>
                <w:szCs w:val="24"/>
              </w:rPr>
            </w:pPr>
            <w:r>
              <w:rPr>
                <w:rFonts w:eastAsia="仿宋"/>
                <w:sz w:val="24"/>
                <w:szCs w:val="24"/>
              </w:rPr>
              <w:t xml:space="preserve">4.1.2 </w:t>
            </w:r>
            <w:r>
              <w:rPr>
                <w:rFonts w:eastAsia="仿宋"/>
                <w:sz w:val="24"/>
                <w:szCs w:val="24"/>
              </w:rPr>
              <w:t>应与养殖区、办公生活区及其他人员活动密集区保持一定的间距，并设物理隔离屏障。</w:t>
            </w:r>
          </w:p>
          <w:p w14:paraId="4F585C9A" w14:textId="77777777" w:rsidR="000E76B9" w:rsidRDefault="00A86600">
            <w:pPr>
              <w:snapToGrid w:val="0"/>
              <w:spacing w:line="260" w:lineRule="exact"/>
              <w:jc w:val="left"/>
              <w:rPr>
                <w:rFonts w:eastAsia="仿宋"/>
                <w:sz w:val="24"/>
                <w:szCs w:val="24"/>
              </w:rPr>
            </w:pPr>
            <w:r>
              <w:rPr>
                <w:rFonts w:eastAsia="仿宋"/>
                <w:sz w:val="24"/>
                <w:szCs w:val="24"/>
              </w:rPr>
              <w:t xml:space="preserve">4.2.4 </w:t>
            </w:r>
            <w:r>
              <w:rPr>
                <w:rFonts w:eastAsia="仿宋"/>
                <w:sz w:val="24"/>
                <w:szCs w:val="24"/>
              </w:rPr>
              <w:t>场区周围应建有不低于</w:t>
            </w:r>
            <w:r>
              <w:rPr>
                <w:rFonts w:eastAsia="仿宋"/>
                <w:sz w:val="24"/>
                <w:szCs w:val="24"/>
              </w:rPr>
              <w:t>2m</w:t>
            </w:r>
            <w:r>
              <w:rPr>
                <w:rFonts w:eastAsia="仿宋"/>
                <w:sz w:val="24"/>
                <w:szCs w:val="24"/>
              </w:rPr>
              <w:t>高的隔离栏。</w:t>
            </w:r>
          </w:p>
          <w:p w14:paraId="0BE551C5" w14:textId="77777777" w:rsidR="000E76B9" w:rsidRDefault="00A86600">
            <w:pPr>
              <w:snapToGrid w:val="0"/>
              <w:spacing w:line="260" w:lineRule="exact"/>
              <w:jc w:val="left"/>
              <w:rPr>
                <w:rFonts w:eastAsia="仿宋"/>
                <w:sz w:val="24"/>
                <w:szCs w:val="24"/>
              </w:rPr>
            </w:pPr>
            <w:r>
              <w:rPr>
                <w:rFonts w:eastAsia="仿宋"/>
                <w:sz w:val="24"/>
                <w:szCs w:val="24"/>
              </w:rPr>
              <w:t xml:space="preserve">4.2.5 </w:t>
            </w:r>
            <w:r>
              <w:rPr>
                <w:rFonts w:eastAsia="仿宋"/>
                <w:sz w:val="24"/>
                <w:szCs w:val="24"/>
              </w:rPr>
              <w:t>场内布局应科学合理，宜分为办公生活区、收集区、防疫缓冲区。</w:t>
            </w:r>
          </w:p>
          <w:p w14:paraId="777EB387" w14:textId="77777777" w:rsidR="000E76B9" w:rsidRDefault="00A86600">
            <w:pPr>
              <w:snapToGrid w:val="0"/>
              <w:spacing w:line="260" w:lineRule="exact"/>
              <w:jc w:val="left"/>
              <w:rPr>
                <w:rFonts w:eastAsia="仿宋"/>
                <w:sz w:val="24"/>
                <w:szCs w:val="24"/>
              </w:rPr>
            </w:pPr>
            <w:r>
              <w:rPr>
                <w:rFonts w:eastAsia="仿宋"/>
                <w:sz w:val="24"/>
                <w:szCs w:val="24"/>
              </w:rPr>
              <w:t xml:space="preserve">4.2.6 </w:t>
            </w:r>
            <w:r>
              <w:rPr>
                <w:rFonts w:eastAsia="仿宋"/>
                <w:sz w:val="24"/>
                <w:szCs w:val="24"/>
              </w:rPr>
              <w:t>办公生活区宜位于收集区的常年主导风向或最大风频的上风向。</w:t>
            </w:r>
          </w:p>
        </w:tc>
        <w:tc>
          <w:tcPr>
            <w:tcW w:w="1043" w:type="pct"/>
            <w:vAlign w:val="center"/>
          </w:tcPr>
          <w:p w14:paraId="52BA2E63" w14:textId="77777777" w:rsidR="000E76B9" w:rsidRDefault="00A86600">
            <w:pPr>
              <w:snapToGrid w:val="0"/>
              <w:spacing w:line="260" w:lineRule="exact"/>
              <w:jc w:val="left"/>
              <w:rPr>
                <w:rFonts w:eastAsia="仿宋"/>
                <w:sz w:val="24"/>
                <w:szCs w:val="24"/>
              </w:rPr>
            </w:pPr>
            <w:r>
              <w:rPr>
                <w:rFonts w:eastAsia="仿宋"/>
                <w:sz w:val="24"/>
                <w:szCs w:val="24"/>
              </w:rPr>
              <w:t>/</w:t>
            </w:r>
          </w:p>
        </w:tc>
      </w:tr>
      <w:tr w:rsidR="000E76B9" w14:paraId="7A066864" w14:textId="77777777">
        <w:trPr>
          <w:trHeight w:val="453"/>
        </w:trPr>
        <w:tc>
          <w:tcPr>
            <w:tcW w:w="200" w:type="pct"/>
            <w:tcBorders>
              <w:top w:val="single" w:sz="2" w:space="0" w:color="000000"/>
              <w:left w:val="single" w:sz="2" w:space="0" w:color="000000"/>
              <w:bottom w:val="single" w:sz="2" w:space="0" w:color="000000"/>
              <w:right w:val="single" w:sz="2" w:space="0" w:color="000000"/>
            </w:tcBorders>
            <w:vAlign w:val="center"/>
          </w:tcPr>
          <w:p w14:paraId="4E1E360E" w14:textId="77777777" w:rsidR="000E76B9" w:rsidRDefault="00A86600">
            <w:pPr>
              <w:snapToGrid w:val="0"/>
              <w:spacing w:line="260" w:lineRule="exact"/>
              <w:jc w:val="left"/>
              <w:rPr>
                <w:rFonts w:eastAsia="仿宋"/>
                <w:sz w:val="24"/>
                <w:szCs w:val="24"/>
              </w:rPr>
            </w:pPr>
            <w:r>
              <w:rPr>
                <w:rFonts w:eastAsia="仿宋"/>
                <w:sz w:val="24"/>
                <w:szCs w:val="24"/>
              </w:rPr>
              <w:t>收集</w:t>
            </w:r>
          </w:p>
        </w:tc>
        <w:tc>
          <w:tcPr>
            <w:tcW w:w="1009" w:type="pct"/>
            <w:tcBorders>
              <w:top w:val="single" w:sz="2" w:space="0" w:color="000000"/>
              <w:left w:val="single" w:sz="2" w:space="0" w:color="000000"/>
              <w:bottom w:val="single" w:sz="2" w:space="0" w:color="000000"/>
              <w:right w:val="single" w:sz="2" w:space="0" w:color="000000"/>
            </w:tcBorders>
            <w:vAlign w:val="center"/>
          </w:tcPr>
          <w:p w14:paraId="780C8CE0" w14:textId="77777777" w:rsidR="000E76B9" w:rsidRDefault="00A86600">
            <w:pPr>
              <w:snapToGrid w:val="0"/>
              <w:spacing w:line="260" w:lineRule="exact"/>
              <w:jc w:val="left"/>
              <w:rPr>
                <w:rFonts w:eastAsia="仿宋"/>
                <w:sz w:val="24"/>
                <w:szCs w:val="24"/>
              </w:rPr>
            </w:pPr>
            <w:r>
              <w:rPr>
                <w:rFonts w:eastAsia="仿宋"/>
                <w:sz w:val="24"/>
                <w:szCs w:val="24"/>
              </w:rPr>
              <w:t xml:space="preserve">4.2.1 </w:t>
            </w:r>
            <w:r>
              <w:rPr>
                <w:rFonts w:eastAsia="仿宋"/>
                <w:sz w:val="24"/>
                <w:szCs w:val="24"/>
              </w:rPr>
              <w:t>畜禽养殖场或收集点应配备冷藏</w:t>
            </w:r>
            <w:r>
              <w:rPr>
                <w:rFonts w:eastAsia="仿宋"/>
                <w:sz w:val="24"/>
                <w:szCs w:val="24"/>
              </w:rPr>
              <w:t>/</w:t>
            </w:r>
            <w:r>
              <w:rPr>
                <w:rFonts w:eastAsia="仿宋"/>
                <w:sz w:val="24"/>
                <w:szCs w:val="24"/>
              </w:rPr>
              <w:t>冷冻设备对动物尸体进行暂存，防止无害化处理前动物尸体腐烂。</w:t>
            </w:r>
          </w:p>
          <w:p w14:paraId="14856CC2" w14:textId="77777777" w:rsidR="000E76B9" w:rsidRDefault="00A86600">
            <w:pPr>
              <w:snapToGrid w:val="0"/>
              <w:spacing w:line="260" w:lineRule="exact"/>
              <w:jc w:val="left"/>
              <w:rPr>
                <w:rFonts w:eastAsia="仿宋"/>
                <w:sz w:val="24"/>
                <w:szCs w:val="24"/>
              </w:rPr>
            </w:pPr>
            <w:r>
              <w:rPr>
                <w:rFonts w:eastAsia="仿宋"/>
                <w:sz w:val="24"/>
                <w:szCs w:val="24"/>
              </w:rPr>
              <w:t xml:space="preserve">4.2.2 </w:t>
            </w:r>
            <w:r>
              <w:rPr>
                <w:rFonts w:eastAsia="仿宋"/>
                <w:sz w:val="24"/>
                <w:szCs w:val="24"/>
              </w:rPr>
              <w:t>物料容器应符合密闭、防水、防渗、防破损、耐腐蚀等要求。</w:t>
            </w:r>
          </w:p>
        </w:tc>
        <w:tc>
          <w:tcPr>
            <w:tcW w:w="915" w:type="pct"/>
            <w:tcBorders>
              <w:top w:val="single" w:sz="2" w:space="0" w:color="000000"/>
              <w:left w:val="single" w:sz="2" w:space="0" w:color="000000"/>
              <w:bottom w:val="single" w:sz="2" w:space="0" w:color="000000"/>
              <w:right w:val="single" w:sz="2" w:space="0" w:color="000000"/>
            </w:tcBorders>
            <w:vAlign w:val="center"/>
          </w:tcPr>
          <w:p w14:paraId="5DA9F9DC" w14:textId="77777777" w:rsidR="000E76B9" w:rsidRDefault="00A86600">
            <w:pPr>
              <w:snapToGrid w:val="0"/>
              <w:spacing w:line="260" w:lineRule="exact"/>
              <w:jc w:val="left"/>
              <w:rPr>
                <w:rFonts w:eastAsia="仿宋"/>
                <w:sz w:val="24"/>
                <w:szCs w:val="24"/>
              </w:rPr>
            </w:pPr>
            <w:r>
              <w:rPr>
                <w:rFonts w:eastAsia="仿宋"/>
                <w:sz w:val="24"/>
                <w:szCs w:val="24"/>
              </w:rPr>
              <w:t xml:space="preserve">5.1 </w:t>
            </w:r>
            <w:r>
              <w:rPr>
                <w:rFonts w:eastAsia="仿宋"/>
                <w:sz w:val="24"/>
                <w:szCs w:val="24"/>
              </w:rPr>
              <w:t>包装</w:t>
            </w:r>
            <w:r>
              <w:rPr>
                <w:rFonts w:eastAsia="仿宋"/>
                <w:sz w:val="24"/>
                <w:szCs w:val="24"/>
              </w:rPr>
              <w:t xml:space="preserve"> </w:t>
            </w:r>
          </w:p>
          <w:p w14:paraId="5CE34D47" w14:textId="77777777" w:rsidR="000E76B9" w:rsidRDefault="00A86600">
            <w:pPr>
              <w:snapToGrid w:val="0"/>
              <w:spacing w:line="260" w:lineRule="exact"/>
              <w:jc w:val="left"/>
              <w:rPr>
                <w:rFonts w:eastAsia="仿宋"/>
                <w:sz w:val="24"/>
                <w:szCs w:val="24"/>
              </w:rPr>
            </w:pPr>
            <w:r>
              <w:rPr>
                <w:rFonts w:eastAsia="仿宋"/>
                <w:sz w:val="24"/>
                <w:szCs w:val="24"/>
              </w:rPr>
              <w:t xml:space="preserve">5.1.1 </w:t>
            </w:r>
            <w:r>
              <w:rPr>
                <w:rFonts w:eastAsia="仿宋"/>
                <w:sz w:val="24"/>
                <w:szCs w:val="24"/>
              </w:rPr>
              <w:t>包装材料应符合密闭、防水、防渗、防破损、耐腐蚀等要求。</w:t>
            </w:r>
          </w:p>
          <w:p w14:paraId="17188D43" w14:textId="77777777" w:rsidR="000E76B9" w:rsidRDefault="000E76B9">
            <w:pPr>
              <w:snapToGrid w:val="0"/>
              <w:spacing w:line="260" w:lineRule="exact"/>
              <w:jc w:val="left"/>
              <w:rPr>
                <w:rFonts w:eastAsia="仿宋"/>
                <w:sz w:val="24"/>
                <w:szCs w:val="24"/>
              </w:rPr>
            </w:pPr>
          </w:p>
        </w:tc>
        <w:tc>
          <w:tcPr>
            <w:tcW w:w="915" w:type="pct"/>
            <w:tcBorders>
              <w:top w:val="single" w:sz="2" w:space="0" w:color="000000"/>
              <w:left w:val="single" w:sz="2" w:space="0" w:color="000000"/>
              <w:bottom w:val="single" w:sz="2" w:space="0" w:color="000000"/>
              <w:right w:val="single" w:sz="2" w:space="0" w:color="000000"/>
            </w:tcBorders>
            <w:vAlign w:val="center"/>
          </w:tcPr>
          <w:p w14:paraId="23F00F78"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915" w:type="pct"/>
            <w:tcBorders>
              <w:top w:val="single" w:sz="2" w:space="0" w:color="000000"/>
              <w:left w:val="single" w:sz="2" w:space="0" w:color="000000"/>
              <w:bottom w:val="single" w:sz="2" w:space="0" w:color="000000"/>
              <w:right w:val="single" w:sz="2" w:space="0" w:color="000000"/>
            </w:tcBorders>
            <w:vAlign w:val="center"/>
          </w:tcPr>
          <w:p w14:paraId="4B8E370D"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1043" w:type="pct"/>
            <w:tcBorders>
              <w:top w:val="single" w:sz="2" w:space="0" w:color="000000"/>
              <w:left w:val="single" w:sz="2" w:space="0" w:color="000000"/>
              <w:bottom w:val="single" w:sz="2" w:space="0" w:color="000000"/>
              <w:right w:val="single" w:sz="2" w:space="0" w:color="000000"/>
            </w:tcBorders>
            <w:vAlign w:val="center"/>
          </w:tcPr>
          <w:p w14:paraId="29E2BA00" w14:textId="77777777" w:rsidR="000E76B9" w:rsidRDefault="00A86600">
            <w:pPr>
              <w:snapToGrid w:val="0"/>
              <w:spacing w:line="260" w:lineRule="exact"/>
              <w:jc w:val="left"/>
              <w:rPr>
                <w:rFonts w:eastAsia="仿宋"/>
                <w:sz w:val="24"/>
                <w:szCs w:val="24"/>
              </w:rPr>
            </w:pPr>
            <w:r>
              <w:rPr>
                <w:rFonts w:eastAsia="仿宋"/>
                <w:sz w:val="24"/>
                <w:szCs w:val="24"/>
              </w:rPr>
              <w:t xml:space="preserve">5.6 </w:t>
            </w:r>
            <w:r>
              <w:rPr>
                <w:rFonts w:eastAsia="仿宋"/>
                <w:sz w:val="24"/>
                <w:szCs w:val="24"/>
              </w:rPr>
              <w:t>应保证过程清洁卫生、安全环保。</w:t>
            </w:r>
          </w:p>
        </w:tc>
      </w:tr>
      <w:tr w:rsidR="000E76B9" w14:paraId="0CA078D8" w14:textId="77777777">
        <w:trPr>
          <w:trHeight w:val="458"/>
        </w:trPr>
        <w:tc>
          <w:tcPr>
            <w:tcW w:w="200" w:type="pct"/>
            <w:tcBorders>
              <w:top w:val="single" w:sz="2" w:space="0" w:color="000000"/>
              <w:left w:val="single" w:sz="2" w:space="0" w:color="000000"/>
              <w:bottom w:val="single" w:sz="2" w:space="0" w:color="000000"/>
              <w:right w:val="single" w:sz="2" w:space="0" w:color="000000"/>
            </w:tcBorders>
            <w:vAlign w:val="center"/>
          </w:tcPr>
          <w:p w14:paraId="62DFAEB9" w14:textId="77777777" w:rsidR="000E76B9" w:rsidRDefault="00A86600">
            <w:pPr>
              <w:snapToGrid w:val="0"/>
              <w:spacing w:line="260" w:lineRule="exact"/>
              <w:jc w:val="left"/>
              <w:rPr>
                <w:rFonts w:eastAsia="仿宋"/>
                <w:sz w:val="24"/>
                <w:szCs w:val="24"/>
              </w:rPr>
            </w:pPr>
            <w:r>
              <w:rPr>
                <w:rFonts w:eastAsia="仿宋"/>
                <w:sz w:val="24"/>
                <w:szCs w:val="24"/>
              </w:rPr>
              <w:lastRenderedPageBreak/>
              <w:t>运输</w:t>
            </w:r>
          </w:p>
        </w:tc>
        <w:tc>
          <w:tcPr>
            <w:tcW w:w="1009" w:type="pct"/>
            <w:tcBorders>
              <w:top w:val="single" w:sz="2" w:space="0" w:color="000000"/>
              <w:left w:val="single" w:sz="2" w:space="0" w:color="000000"/>
              <w:bottom w:val="single" w:sz="2" w:space="0" w:color="000000"/>
              <w:right w:val="single" w:sz="2" w:space="0" w:color="000000"/>
            </w:tcBorders>
            <w:vAlign w:val="center"/>
          </w:tcPr>
          <w:p w14:paraId="3A3EECB6" w14:textId="77777777" w:rsidR="000E76B9" w:rsidRDefault="00A86600">
            <w:pPr>
              <w:snapToGrid w:val="0"/>
              <w:spacing w:line="260" w:lineRule="exact"/>
              <w:jc w:val="left"/>
              <w:rPr>
                <w:rFonts w:eastAsia="仿宋"/>
                <w:sz w:val="24"/>
                <w:szCs w:val="24"/>
              </w:rPr>
            </w:pPr>
            <w:r>
              <w:rPr>
                <w:rFonts w:eastAsia="仿宋"/>
                <w:sz w:val="24"/>
                <w:szCs w:val="24"/>
              </w:rPr>
              <w:t xml:space="preserve">4.3.1 </w:t>
            </w:r>
            <w:r>
              <w:rPr>
                <w:rFonts w:eastAsia="仿宋"/>
                <w:sz w:val="24"/>
                <w:szCs w:val="24"/>
              </w:rPr>
              <w:t>物料专用运输车辆应当符合以下要求：</w:t>
            </w:r>
          </w:p>
          <w:p w14:paraId="1B0BE57A"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不运输本规范涉及的物料以外的其他物品；</w:t>
            </w:r>
          </w:p>
          <w:p w14:paraId="326F2741"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车厢密闭、防水、防渗、耐腐蚀，易于清洗和消毒并防止臭气外逸；</w:t>
            </w:r>
          </w:p>
          <w:p w14:paraId="6D41A959"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配备能够接入国家监管监控平台的车辆定位跟踪系统、车载终端；</w:t>
            </w:r>
          </w:p>
          <w:p w14:paraId="0B0AB924"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配备人员防护、清洗消毒等应急防疫用品；</w:t>
            </w:r>
          </w:p>
          <w:p w14:paraId="356D4CA8"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有符合动物防疫需要的其他设施设备。</w:t>
            </w:r>
          </w:p>
          <w:p w14:paraId="3D2293CF" w14:textId="77777777" w:rsidR="000E76B9" w:rsidRDefault="00A86600">
            <w:pPr>
              <w:snapToGrid w:val="0"/>
              <w:spacing w:line="260" w:lineRule="exact"/>
              <w:jc w:val="left"/>
              <w:rPr>
                <w:rFonts w:eastAsia="仿宋"/>
                <w:sz w:val="24"/>
                <w:szCs w:val="24"/>
              </w:rPr>
            </w:pPr>
            <w:r>
              <w:rPr>
                <w:rFonts w:eastAsia="仿宋"/>
                <w:sz w:val="24"/>
                <w:szCs w:val="24"/>
              </w:rPr>
              <w:t xml:space="preserve">4.3.3 </w:t>
            </w:r>
            <w:r>
              <w:rPr>
                <w:rFonts w:eastAsia="仿宋"/>
                <w:sz w:val="24"/>
                <w:szCs w:val="24"/>
              </w:rPr>
              <w:t>应合理规划运载车辆的运输路线，避免进入人口密集区和环境敏感区域。</w:t>
            </w:r>
          </w:p>
        </w:tc>
        <w:tc>
          <w:tcPr>
            <w:tcW w:w="915" w:type="pct"/>
            <w:tcBorders>
              <w:top w:val="single" w:sz="2" w:space="0" w:color="000000"/>
              <w:left w:val="single" w:sz="2" w:space="0" w:color="000000"/>
              <w:bottom w:val="single" w:sz="2" w:space="0" w:color="000000"/>
              <w:right w:val="single" w:sz="2" w:space="0" w:color="000000"/>
            </w:tcBorders>
            <w:vAlign w:val="center"/>
          </w:tcPr>
          <w:p w14:paraId="728D50AD" w14:textId="77777777" w:rsidR="000E76B9" w:rsidRDefault="00A86600">
            <w:pPr>
              <w:snapToGrid w:val="0"/>
              <w:spacing w:line="260" w:lineRule="exact"/>
              <w:jc w:val="left"/>
              <w:rPr>
                <w:rFonts w:eastAsia="仿宋"/>
                <w:sz w:val="24"/>
                <w:szCs w:val="24"/>
              </w:rPr>
            </w:pPr>
            <w:r>
              <w:rPr>
                <w:rFonts w:eastAsia="仿宋"/>
                <w:sz w:val="24"/>
                <w:szCs w:val="24"/>
              </w:rPr>
              <w:t xml:space="preserve">5.3.1 </w:t>
            </w:r>
            <w:r>
              <w:rPr>
                <w:rFonts w:eastAsia="仿宋"/>
                <w:sz w:val="24"/>
                <w:szCs w:val="24"/>
              </w:rPr>
              <w:t>可选择符合</w:t>
            </w:r>
            <w:r>
              <w:rPr>
                <w:rFonts w:eastAsia="仿宋"/>
                <w:sz w:val="24"/>
                <w:szCs w:val="24"/>
              </w:rPr>
              <w:t>GB19217</w:t>
            </w:r>
            <w:r>
              <w:rPr>
                <w:rFonts w:eastAsia="仿宋"/>
                <w:sz w:val="24"/>
                <w:szCs w:val="24"/>
              </w:rPr>
              <w:t>条件的车辆或专用封闭厢式运载车辆。车厢四壁及底部应使用耐腐蚀材料，并采取防渗措施。</w:t>
            </w:r>
          </w:p>
          <w:p w14:paraId="325CECF1" w14:textId="77777777" w:rsidR="000E76B9" w:rsidRDefault="00A86600">
            <w:pPr>
              <w:snapToGrid w:val="0"/>
              <w:spacing w:line="260" w:lineRule="exact"/>
              <w:jc w:val="left"/>
              <w:rPr>
                <w:rFonts w:eastAsia="仿宋"/>
                <w:sz w:val="24"/>
                <w:szCs w:val="24"/>
              </w:rPr>
            </w:pPr>
            <w:r>
              <w:rPr>
                <w:rFonts w:eastAsia="仿宋"/>
                <w:sz w:val="24"/>
                <w:szCs w:val="24"/>
              </w:rPr>
              <w:t xml:space="preserve">5.3.2 </w:t>
            </w:r>
            <w:r>
              <w:rPr>
                <w:rFonts w:eastAsia="仿宋"/>
                <w:sz w:val="24"/>
                <w:szCs w:val="24"/>
              </w:rPr>
              <w:t>专用转运车辆应加施明显标识，并加装车载定位系统，记录转运时间和路径等信息。</w:t>
            </w:r>
          </w:p>
          <w:p w14:paraId="31FAA933" w14:textId="77777777" w:rsidR="000E76B9" w:rsidRDefault="00A86600">
            <w:pPr>
              <w:snapToGrid w:val="0"/>
              <w:spacing w:line="260" w:lineRule="exact"/>
              <w:jc w:val="left"/>
              <w:rPr>
                <w:rFonts w:eastAsia="仿宋"/>
                <w:sz w:val="24"/>
                <w:szCs w:val="24"/>
              </w:rPr>
            </w:pPr>
            <w:r>
              <w:rPr>
                <w:rFonts w:eastAsia="仿宋"/>
                <w:sz w:val="24"/>
                <w:szCs w:val="24"/>
              </w:rPr>
              <w:t xml:space="preserve">5.3.4 </w:t>
            </w:r>
            <w:r>
              <w:rPr>
                <w:rFonts w:eastAsia="仿宋"/>
                <w:sz w:val="24"/>
                <w:szCs w:val="24"/>
              </w:rPr>
              <w:t>转运车辆应尽量避免进入人口密集区。</w:t>
            </w:r>
          </w:p>
          <w:p w14:paraId="7839E696" w14:textId="77777777" w:rsidR="000E76B9" w:rsidRDefault="000E76B9">
            <w:pPr>
              <w:snapToGrid w:val="0"/>
              <w:spacing w:line="260" w:lineRule="exact"/>
              <w:jc w:val="left"/>
              <w:rPr>
                <w:rFonts w:eastAsia="仿宋"/>
                <w:sz w:val="24"/>
                <w:szCs w:val="24"/>
              </w:rPr>
            </w:pPr>
          </w:p>
        </w:tc>
        <w:tc>
          <w:tcPr>
            <w:tcW w:w="915" w:type="pct"/>
            <w:tcBorders>
              <w:top w:val="single" w:sz="2" w:space="0" w:color="000000"/>
              <w:left w:val="single" w:sz="2" w:space="0" w:color="000000"/>
              <w:bottom w:val="single" w:sz="2" w:space="0" w:color="000000"/>
              <w:right w:val="single" w:sz="2" w:space="0" w:color="000000"/>
            </w:tcBorders>
            <w:vAlign w:val="center"/>
          </w:tcPr>
          <w:p w14:paraId="604FF942"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915" w:type="pct"/>
            <w:tcBorders>
              <w:top w:val="single" w:sz="2" w:space="0" w:color="000000"/>
              <w:left w:val="single" w:sz="2" w:space="0" w:color="000000"/>
              <w:bottom w:val="single" w:sz="2" w:space="0" w:color="000000"/>
              <w:right w:val="single" w:sz="2" w:space="0" w:color="000000"/>
            </w:tcBorders>
            <w:vAlign w:val="center"/>
          </w:tcPr>
          <w:p w14:paraId="771A410D"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1043" w:type="pct"/>
            <w:tcBorders>
              <w:top w:val="single" w:sz="2" w:space="0" w:color="000000"/>
              <w:left w:val="single" w:sz="2" w:space="0" w:color="000000"/>
              <w:bottom w:val="single" w:sz="2" w:space="0" w:color="000000"/>
              <w:right w:val="single" w:sz="2" w:space="0" w:color="000000"/>
            </w:tcBorders>
            <w:vAlign w:val="center"/>
          </w:tcPr>
          <w:p w14:paraId="453E7507" w14:textId="77777777" w:rsidR="000E76B9" w:rsidRDefault="00A86600">
            <w:pPr>
              <w:snapToGrid w:val="0"/>
              <w:spacing w:line="260" w:lineRule="exact"/>
              <w:jc w:val="left"/>
              <w:rPr>
                <w:rFonts w:eastAsia="仿宋"/>
                <w:sz w:val="24"/>
                <w:szCs w:val="24"/>
              </w:rPr>
            </w:pPr>
            <w:r>
              <w:rPr>
                <w:rFonts w:eastAsia="仿宋"/>
                <w:sz w:val="24"/>
                <w:szCs w:val="24"/>
              </w:rPr>
              <w:t xml:space="preserve">4 </w:t>
            </w:r>
            <w:r>
              <w:rPr>
                <w:rFonts w:eastAsia="仿宋"/>
                <w:sz w:val="24"/>
                <w:szCs w:val="24"/>
              </w:rPr>
              <w:t>车辆</w:t>
            </w:r>
          </w:p>
          <w:p w14:paraId="081C5734" w14:textId="77777777" w:rsidR="000E76B9" w:rsidRDefault="00A86600">
            <w:pPr>
              <w:snapToGrid w:val="0"/>
              <w:spacing w:line="260" w:lineRule="exact"/>
              <w:jc w:val="left"/>
              <w:rPr>
                <w:rFonts w:eastAsia="仿宋"/>
                <w:sz w:val="24"/>
                <w:szCs w:val="24"/>
              </w:rPr>
            </w:pPr>
            <w:r>
              <w:rPr>
                <w:rFonts w:eastAsia="仿宋"/>
                <w:sz w:val="24"/>
                <w:szCs w:val="24"/>
              </w:rPr>
              <w:t xml:space="preserve">4.1 </w:t>
            </w:r>
            <w:r>
              <w:rPr>
                <w:rFonts w:eastAsia="仿宋"/>
                <w:sz w:val="24"/>
                <w:szCs w:val="24"/>
              </w:rPr>
              <w:t>专用车辆</w:t>
            </w:r>
          </w:p>
          <w:p w14:paraId="424A0835" w14:textId="77777777" w:rsidR="000E76B9" w:rsidRDefault="00A86600">
            <w:pPr>
              <w:snapToGrid w:val="0"/>
              <w:spacing w:line="260" w:lineRule="exact"/>
              <w:jc w:val="left"/>
              <w:rPr>
                <w:rFonts w:eastAsia="仿宋"/>
                <w:sz w:val="24"/>
                <w:szCs w:val="24"/>
              </w:rPr>
            </w:pPr>
            <w:r>
              <w:rPr>
                <w:rFonts w:eastAsia="仿宋"/>
                <w:sz w:val="24"/>
                <w:szCs w:val="24"/>
              </w:rPr>
              <w:t xml:space="preserve">4.1.2 </w:t>
            </w:r>
            <w:r>
              <w:rPr>
                <w:rFonts w:eastAsia="仿宋"/>
                <w:sz w:val="24"/>
                <w:szCs w:val="24"/>
              </w:rPr>
              <w:t>驾驶室与厢体应完全隔开。厢体内壁结构应易清洗、消毒、耐腐蚀。并具有良好的密封性能和防渗漏性能。</w:t>
            </w:r>
          </w:p>
          <w:p w14:paraId="2D29BA70" w14:textId="77777777" w:rsidR="000E76B9" w:rsidRDefault="00A86600">
            <w:pPr>
              <w:snapToGrid w:val="0"/>
              <w:spacing w:line="260" w:lineRule="exact"/>
              <w:jc w:val="left"/>
              <w:rPr>
                <w:rFonts w:eastAsia="仿宋"/>
                <w:sz w:val="24"/>
                <w:szCs w:val="24"/>
              </w:rPr>
            </w:pPr>
            <w:r>
              <w:rPr>
                <w:rFonts w:eastAsia="仿宋"/>
                <w:sz w:val="24"/>
                <w:szCs w:val="24"/>
              </w:rPr>
              <w:t xml:space="preserve">4.1.3 </w:t>
            </w:r>
            <w:r>
              <w:rPr>
                <w:rFonts w:eastAsia="仿宋"/>
                <w:sz w:val="24"/>
                <w:szCs w:val="24"/>
              </w:rPr>
              <w:t>应配置冲洗消毒、污水暂存、定位系统、行车记录仪、自动装料和卸料等设施。</w:t>
            </w:r>
          </w:p>
          <w:p w14:paraId="34E224B8" w14:textId="77777777" w:rsidR="000E76B9" w:rsidRDefault="00A86600">
            <w:pPr>
              <w:snapToGrid w:val="0"/>
              <w:spacing w:line="260" w:lineRule="exact"/>
              <w:jc w:val="left"/>
              <w:rPr>
                <w:rFonts w:eastAsia="仿宋"/>
                <w:sz w:val="24"/>
                <w:szCs w:val="24"/>
              </w:rPr>
            </w:pPr>
            <w:r>
              <w:rPr>
                <w:rFonts w:eastAsia="仿宋"/>
                <w:sz w:val="24"/>
                <w:szCs w:val="24"/>
              </w:rPr>
              <w:t xml:space="preserve">4.1.4 </w:t>
            </w:r>
            <w:r>
              <w:rPr>
                <w:rFonts w:eastAsia="仿宋"/>
                <w:sz w:val="24"/>
                <w:szCs w:val="24"/>
              </w:rPr>
              <w:t>应配备应急防疫物资（如：消毒用品、防疫袋、人员卫生防护用品等）。</w:t>
            </w:r>
          </w:p>
          <w:p w14:paraId="62A76C00" w14:textId="77777777" w:rsidR="000E76B9" w:rsidRDefault="00A86600">
            <w:pPr>
              <w:snapToGrid w:val="0"/>
              <w:spacing w:line="260" w:lineRule="exact"/>
              <w:jc w:val="left"/>
              <w:rPr>
                <w:rFonts w:eastAsia="仿宋"/>
                <w:sz w:val="24"/>
                <w:szCs w:val="24"/>
              </w:rPr>
            </w:pPr>
            <w:r>
              <w:rPr>
                <w:rFonts w:eastAsia="仿宋"/>
                <w:sz w:val="24"/>
                <w:szCs w:val="24"/>
              </w:rPr>
              <w:t xml:space="preserve">4.2 </w:t>
            </w:r>
            <w:r>
              <w:rPr>
                <w:rFonts w:eastAsia="仿宋"/>
                <w:sz w:val="24"/>
                <w:szCs w:val="24"/>
              </w:rPr>
              <w:t>自配车辆</w:t>
            </w:r>
          </w:p>
          <w:p w14:paraId="4BE72EF1" w14:textId="77777777" w:rsidR="000E76B9" w:rsidRDefault="00A86600">
            <w:pPr>
              <w:snapToGrid w:val="0"/>
              <w:spacing w:line="260" w:lineRule="exact"/>
              <w:jc w:val="left"/>
              <w:rPr>
                <w:rFonts w:eastAsia="仿宋"/>
                <w:sz w:val="24"/>
                <w:szCs w:val="24"/>
              </w:rPr>
            </w:pPr>
            <w:r>
              <w:rPr>
                <w:rFonts w:eastAsia="仿宋"/>
                <w:sz w:val="24"/>
                <w:szCs w:val="24"/>
              </w:rPr>
              <w:t xml:space="preserve">4.2.2 </w:t>
            </w:r>
            <w:r>
              <w:rPr>
                <w:rFonts w:eastAsia="仿宋"/>
                <w:sz w:val="24"/>
                <w:szCs w:val="24"/>
              </w:rPr>
              <w:t>应采取适当密封与防渗措施防止物料直接暴露、血污水外溢。</w:t>
            </w:r>
          </w:p>
          <w:p w14:paraId="7F009F73" w14:textId="77777777" w:rsidR="000E76B9" w:rsidRDefault="00A86600">
            <w:pPr>
              <w:snapToGrid w:val="0"/>
              <w:spacing w:line="260" w:lineRule="exact"/>
              <w:jc w:val="left"/>
              <w:rPr>
                <w:rFonts w:eastAsia="仿宋"/>
                <w:sz w:val="24"/>
                <w:szCs w:val="24"/>
              </w:rPr>
            </w:pPr>
            <w:r>
              <w:rPr>
                <w:rFonts w:eastAsia="仿宋"/>
                <w:sz w:val="24"/>
                <w:szCs w:val="24"/>
              </w:rPr>
              <w:t>4.2.3</w:t>
            </w:r>
            <w:r>
              <w:rPr>
                <w:rFonts w:eastAsia="仿宋"/>
                <w:sz w:val="24"/>
                <w:szCs w:val="24"/>
              </w:rPr>
              <w:t>宜配置自动装料和卸料设施。</w:t>
            </w:r>
          </w:p>
          <w:p w14:paraId="55F1FF0E" w14:textId="77777777" w:rsidR="000E76B9" w:rsidRDefault="00A86600">
            <w:pPr>
              <w:snapToGrid w:val="0"/>
              <w:spacing w:line="260" w:lineRule="exact"/>
              <w:jc w:val="left"/>
              <w:rPr>
                <w:rFonts w:eastAsia="仿宋"/>
                <w:sz w:val="24"/>
                <w:szCs w:val="24"/>
              </w:rPr>
            </w:pPr>
            <w:r>
              <w:rPr>
                <w:rFonts w:eastAsia="仿宋"/>
                <w:sz w:val="24"/>
                <w:szCs w:val="24"/>
              </w:rPr>
              <w:t>7</w:t>
            </w:r>
            <w:r>
              <w:rPr>
                <w:rFonts w:eastAsia="仿宋"/>
                <w:sz w:val="24"/>
                <w:szCs w:val="24"/>
              </w:rPr>
              <w:t>运输</w:t>
            </w:r>
          </w:p>
          <w:p w14:paraId="3FD294BA" w14:textId="77777777" w:rsidR="000E76B9" w:rsidRDefault="00A86600">
            <w:pPr>
              <w:snapToGrid w:val="0"/>
              <w:spacing w:line="260" w:lineRule="exact"/>
              <w:jc w:val="left"/>
              <w:rPr>
                <w:rFonts w:eastAsia="仿宋"/>
                <w:sz w:val="24"/>
                <w:szCs w:val="24"/>
              </w:rPr>
            </w:pPr>
            <w:r>
              <w:rPr>
                <w:rFonts w:eastAsia="仿宋"/>
                <w:sz w:val="24"/>
                <w:szCs w:val="24"/>
              </w:rPr>
              <w:t xml:space="preserve">7.3 </w:t>
            </w:r>
            <w:r>
              <w:rPr>
                <w:rFonts w:eastAsia="仿宋"/>
                <w:sz w:val="24"/>
                <w:szCs w:val="24"/>
              </w:rPr>
              <w:t>路线应固定。路径应避开人口密集区与交通拥堵道路。途中不宜停靠、逗留及往返。</w:t>
            </w:r>
          </w:p>
        </w:tc>
      </w:tr>
      <w:tr w:rsidR="000E76B9" w14:paraId="40899618" w14:textId="77777777">
        <w:trPr>
          <w:trHeight w:val="458"/>
        </w:trPr>
        <w:tc>
          <w:tcPr>
            <w:tcW w:w="200" w:type="pct"/>
            <w:tcBorders>
              <w:top w:val="single" w:sz="2" w:space="0" w:color="000000"/>
              <w:left w:val="single" w:sz="2" w:space="0" w:color="000000"/>
              <w:bottom w:val="single" w:sz="2" w:space="0" w:color="000000"/>
              <w:right w:val="single" w:sz="2" w:space="0" w:color="000000"/>
            </w:tcBorders>
            <w:vAlign w:val="center"/>
          </w:tcPr>
          <w:p w14:paraId="03489EB6" w14:textId="77777777" w:rsidR="000E76B9" w:rsidRDefault="00A86600">
            <w:pPr>
              <w:snapToGrid w:val="0"/>
              <w:spacing w:line="260" w:lineRule="exact"/>
              <w:jc w:val="left"/>
              <w:rPr>
                <w:rFonts w:eastAsia="仿宋"/>
                <w:sz w:val="24"/>
                <w:szCs w:val="24"/>
              </w:rPr>
            </w:pPr>
            <w:r>
              <w:rPr>
                <w:rFonts w:eastAsia="仿宋"/>
                <w:sz w:val="24"/>
                <w:szCs w:val="24"/>
              </w:rPr>
              <w:t>消毒</w:t>
            </w:r>
          </w:p>
        </w:tc>
        <w:tc>
          <w:tcPr>
            <w:tcW w:w="1009" w:type="pct"/>
            <w:tcBorders>
              <w:top w:val="single" w:sz="2" w:space="0" w:color="000000"/>
              <w:left w:val="single" w:sz="2" w:space="0" w:color="000000"/>
              <w:bottom w:val="single" w:sz="2" w:space="0" w:color="000000"/>
              <w:right w:val="single" w:sz="2" w:space="0" w:color="000000"/>
            </w:tcBorders>
            <w:vAlign w:val="center"/>
          </w:tcPr>
          <w:p w14:paraId="13FD4DFD" w14:textId="77777777" w:rsidR="000E76B9" w:rsidRDefault="00A86600">
            <w:pPr>
              <w:snapToGrid w:val="0"/>
              <w:spacing w:line="260" w:lineRule="exact"/>
              <w:jc w:val="left"/>
              <w:rPr>
                <w:rFonts w:eastAsia="仿宋"/>
                <w:sz w:val="24"/>
                <w:szCs w:val="24"/>
              </w:rPr>
            </w:pPr>
            <w:r>
              <w:rPr>
                <w:rFonts w:eastAsia="仿宋"/>
                <w:sz w:val="24"/>
                <w:szCs w:val="24"/>
              </w:rPr>
              <w:t xml:space="preserve">4.3.2 </w:t>
            </w:r>
            <w:r>
              <w:rPr>
                <w:rFonts w:eastAsia="仿宋"/>
                <w:sz w:val="24"/>
                <w:szCs w:val="24"/>
              </w:rPr>
              <w:t>物料装车前应采取相应的消毒处理措施，车</w:t>
            </w:r>
            <w:r>
              <w:rPr>
                <w:rFonts w:eastAsia="仿宋"/>
                <w:sz w:val="24"/>
                <w:szCs w:val="24"/>
              </w:rPr>
              <w:lastRenderedPageBreak/>
              <w:t>辆驶离收集、暂存、养殖等场所前，对车轮及车厢外部进行冲洗及喷雾消毒。</w:t>
            </w:r>
          </w:p>
          <w:p w14:paraId="77A59A48" w14:textId="77777777" w:rsidR="000E76B9" w:rsidRDefault="00A86600">
            <w:pPr>
              <w:snapToGrid w:val="0"/>
              <w:spacing w:line="260" w:lineRule="exact"/>
              <w:jc w:val="left"/>
              <w:rPr>
                <w:rFonts w:eastAsia="仿宋"/>
                <w:sz w:val="24"/>
                <w:szCs w:val="24"/>
              </w:rPr>
            </w:pPr>
            <w:r>
              <w:rPr>
                <w:rFonts w:eastAsia="仿宋"/>
                <w:sz w:val="24"/>
                <w:szCs w:val="24"/>
              </w:rPr>
              <w:t xml:space="preserve">4.3.4 </w:t>
            </w:r>
            <w:r>
              <w:rPr>
                <w:rFonts w:eastAsia="仿宋"/>
                <w:sz w:val="24"/>
                <w:szCs w:val="24"/>
              </w:rPr>
              <w:t>动物及动物产品运送至无害化收集和集中处理场所处理车间卸载后，应对运输车辆进行喷淋消毒，车辆离开前对车轮及车厢外部进行清洗、消毒。</w:t>
            </w:r>
          </w:p>
          <w:p w14:paraId="271CB5EB" w14:textId="77777777" w:rsidR="000E76B9" w:rsidRDefault="00A86600">
            <w:pPr>
              <w:snapToGrid w:val="0"/>
              <w:spacing w:line="260" w:lineRule="exact"/>
              <w:jc w:val="left"/>
              <w:rPr>
                <w:rFonts w:eastAsia="仿宋"/>
                <w:sz w:val="24"/>
                <w:szCs w:val="24"/>
              </w:rPr>
            </w:pPr>
            <w:r>
              <w:rPr>
                <w:rFonts w:eastAsia="仿宋"/>
                <w:sz w:val="24"/>
                <w:szCs w:val="24"/>
              </w:rPr>
              <w:t xml:space="preserve">4.3.5 </w:t>
            </w:r>
            <w:r>
              <w:rPr>
                <w:rFonts w:eastAsia="仿宋"/>
                <w:sz w:val="24"/>
                <w:szCs w:val="24"/>
              </w:rPr>
              <w:t>应定期对生产区域内运输道路及生产区环境进行清洗消毒。</w:t>
            </w:r>
          </w:p>
        </w:tc>
        <w:tc>
          <w:tcPr>
            <w:tcW w:w="915" w:type="pct"/>
            <w:tcBorders>
              <w:top w:val="single" w:sz="2" w:space="0" w:color="000000"/>
              <w:left w:val="single" w:sz="2" w:space="0" w:color="000000"/>
              <w:bottom w:val="single" w:sz="2" w:space="0" w:color="000000"/>
              <w:right w:val="single" w:sz="2" w:space="0" w:color="000000"/>
            </w:tcBorders>
            <w:vAlign w:val="center"/>
          </w:tcPr>
          <w:p w14:paraId="137BB24B"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5.3.3 </w:t>
            </w:r>
            <w:r>
              <w:rPr>
                <w:rFonts w:eastAsia="仿宋"/>
                <w:sz w:val="24"/>
                <w:szCs w:val="24"/>
              </w:rPr>
              <w:t>车辆驶离暂存、养殖等场所前，应对车</w:t>
            </w:r>
            <w:r>
              <w:rPr>
                <w:rFonts w:eastAsia="仿宋"/>
                <w:sz w:val="24"/>
                <w:szCs w:val="24"/>
              </w:rPr>
              <w:lastRenderedPageBreak/>
              <w:t>轮及车厢外部进行消毒。</w:t>
            </w:r>
          </w:p>
          <w:p w14:paraId="0B73AA63" w14:textId="77777777" w:rsidR="000E76B9" w:rsidRDefault="00A86600">
            <w:pPr>
              <w:spacing w:line="260" w:lineRule="exact"/>
              <w:rPr>
                <w:rFonts w:eastAsia="仿宋"/>
                <w:sz w:val="24"/>
                <w:szCs w:val="24"/>
              </w:rPr>
            </w:pPr>
            <w:r>
              <w:rPr>
                <w:rFonts w:eastAsia="仿宋"/>
                <w:sz w:val="24"/>
                <w:szCs w:val="24"/>
              </w:rPr>
              <w:t xml:space="preserve">5.3.6 </w:t>
            </w:r>
            <w:r>
              <w:rPr>
                <w:rFonts w:eastAsia="仿宋"/>
                <w:sz w:val="24"/>
                <w:szCs w:val="24"/>
              </w:rPr>
              <w:t>卸载后，应对转运车辆及相关工具等进行彻底清洗、消毒。</w:t>
            </w:r>
          </w:p>
        </w:tc>
        <w:tc>
          <w:tcPr>
            <w:tcW w:w="915" w:type="pct"/>
            <w:tcBorders>
              <w:top w:val="single" w:sz="2" w:space="0" w:color="000000"/>
              <w:left w:val="single" w:sz="2" w:space="0" w:color="000000"/>
              <w:bottom w:val="single" w:sz="2" w:space="0" w:color="000000"/>
              <w:right w:val="single" w:sz="2" w:space="0" w:color="000000"/>
            </w:tcBorders>
            <w:vAlign w:val="center"/>
          </w:tcPr>
          <w:p w14:paraId="6F5C41D9"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9.1 </w:t>
            </w:r>
            <w:r>
              <w:rPr>
                <w:rFonts w:eastAsia="仿宋"/>
                <w:sz w:val="24"/>
                <w:szCs w:val="24"/>
              </w:rPr>
              <w:t>进出场区大门口的人员、车辆应分别从专</w:t>
            </w:r>
            <w:r>
              <w:rPr>
                <w:rFonts w:eastAsia="仿宋"/>
                <w:sz w:val="24"/>
                <w:szCs w:val="24"/>
              </w:rPr>
              <w:lastRenderedPageBreak/>
              <w:t>用通道通行。</w:t>
            </w:r>
          </w:p>
          <w:p w14:paraId="41571047" w14:textId="77777777" w:rsidR="000E76B9" w:rsidRDefault="00A86600">
            <w:pPr>
              <w:snapToGrid w:val="0"/>
              <w:spacing w:line="260" w:lineRule="exact"/>
              <w:jc w:val="left"/>
              <w:rPr>
                <w:rFonts w:eastAsia="仿宋"/>
                <w:sz w:val="24"/>
                <w:szCs w:val="24"/>
              </w:rPr>
            </w:pPr>
            <w:r>
              <w:rPr>
                <w:rFonts w:eastAsia="仿宋"/>
                <w:sz w:val="24"/>
                <w:szCs w:val="24"/>
              </w:rPr>
              <w:t xml:space="preserve">9.3 </w:t>
            </w:r>
            <w:r>
              <w:rPr>
                <w:rFonts w:eastAsia="仿宋"/>
                <w:sz w:val="24"/>
                <w:szCs w:val="24"/>
              </w:rPr>
              <w:t>进出生产区的车辆应按规定进行冲洗消毒。</w:t>
            </w:r>
          </w:p>
          <w:p w14:paraId="441843BE" w14:textId="77777777" w:rsidR="000E76B9" w:rsidRDefault="00A86600">
            <w:pPr>
              <w:snapToGrid w:val="0"/>
              <w:spacing w:line="260" w:lineRule="exact"/>
              <w:jc w:val="left"/>
              <w:rPr>
                <w:rFonts w:eastAsia="仿宋"/>
                <w:sz w:val="24"/>
                <w:szCs w:val="24"/>
              </w:rPr>
            </w:pPr>
            <w:r>
              <w:rPr>
                <w:rFonts w:eastAsia="仿宋"/>
                <w:sz w:val="24"/>
                <w:szCs w:val="24"/>
              </w:rPr>
              <w:t xml:space="preserve">9.5 </w:t>
            </w:r>
            <w:r>
              <w:rPr>
                <w:rFonts w:eastAsia="仿宋"/>
                <w:sz w:val="24"/>
                <w:szCs w:val="24"/>
              </w:rPr>
              <w:t>对卸货区、处理区、冷库等场所应按班次进行冲洗消毒。</w:t>
            </w:r>
          </w:p>
        </w:tc>
        <w:tc>
          <w:tcPr>
            <w:tcW w:w="915" w:type="pct"/>
            <w:tcBorders>
              <w:top w:val="single" w:sz="2" w:space="0" w:color="000000"/>
              <w:left w:val="single" w:sz="2" w:space="0" w:color="000000"/>
              <w:bottom w:val="single" w:sz="2" w:space="0" w:color="000000"/>
              <w:right w:val="single" w:sz="2" w:space="0" w:color="000000"/>
            </w:tcBorders>
            <w:vAlign w:val="center"/>
          </w:tcPr>
          <w:p w14:paraId="71EBA297"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6.1.2 </w:t>
            </w:r>
            <w:r>
              <w:rPr>
                <w:rFonts w:eastAsia="仿宋"/>
                <w:sz w:val="24"/>
                <w:szCs w:val="24"/>
              </w:rPr>
              <w:t>车辆消毒：驶入转运车辆应缓慢通过车</w:t>
            </w:r>
            <w:r>
              <w:rPr>
                <w:rFonts w:eastAsia="仿宋"/>
                <w:sz w:val="24"/>
                <w:szCs w:val="24"/>
              </w:rPr>
              <w:lastRenderedPageBreak/>
              <w:t>辆消毒池进行轮胎消毒，卸货后应对车辆进行冲洗消毒驶离前应对车辆轮胎及外部箱体进行喷雾消毒。</w:t>
            </w:r>
          </w:p>
          <w:p w14:paraId="77C98180" w14:textId="77777777" w:rsidR="000E76B9" w:rsidRDefault="00A86600">
            <w:pPr>
              <w:snapToGrid w:val="0"/>
              <w:spacing w:line="260" w:lineRule="exact"/>
              <w:jc w:val="left"/>
              <w:rPr>
                <w:rFonts w:eastAsia="仿宋"/>
                <w:sz w:val="24"/>
                <w:szCs w:val="24"/>
              </w:rPr>
            </w:pPr>
            <w:r>
              <w:rPr>
                <w:rFonts w:eastAsia="仿宋"/>
                <w:sz w:val="24"/>
                <w:szCs w:val="24"/>
              </w:rPr>
              <w:t xml:space="preserve">6.1.3 </w:t>
            </w:r>
            <w:r>
              <w:rPr>
                <w:rFonts w:eastAsia="仿宋"/>
                <w:sz w:val="24"/>
                <w:szCs w:val="24"/>
              </w:rPr>
              <w:t>环境消毒：应每天进行场地冲洗消毒，每天更换车辆消毒池和脚踩消毒池的消毒药液。</w:t>
            </w:r>
          </w:p>
        </w:tc>
        <w:tc>
          <w:tcPr>
            <w:tcW w:w="1043" w:type="pct"/>
            <w:tcBorders>
              <w:top w:val="single" w:sz="2" w:space="0" w:color="000000"/>
              <w:left w:val="single" w:sz="2" w:space="0" w:color="000000"/>
              <w:bottom w:val="single" w:sz="2" w:space="0" w:color="000000"/>
              <w:right w:val="single" w:sz="2" w:space="0" w:color="000000"/>
            </w:tcBorders>
            <w:vAlign w:val="center"/>
          </w:tcPr>
          <w:p w14:paraId="0879F514"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10.1.1 </w:t>
            </w:r>
            <w:r>
              <w:rPr>
                <w:rFonts w:eastAsia="仿宋"/>
                <w:sz w:val="24"/>
                <w:szCs w:val="24"/>
              </w:rPr>
              <w:t>应对与物料接触过的车载设施、设备、器</w:t>
            </w:r>
            <w:r>
              <w:rPr>
                <w:rFonts w:eastAsia="仿宋"/>
                <w:sz w:val="24"/>
                <w:szCs w:val="24"/>
              </w:rPr>
              <w:lastRenderedPageBreak/>
              <w:t>具、人员用品进行清洗、消毒。</w:t>
            </w:r>
          </w:p>
          <w:p w14:paraId="49BBB132" w14:textId="77777777" w:rsidR="000E76B9" w:rsidRDefault="00A86600">
            <w:pPr>
              <w:snapToGrid w:val="0"/>
              <w:spacing w:line="260" w:lineRule="exact"/>
              <w:jc w:val="left"/>
              <w:rPr>
                <w:rFonts w:eastAsia="仿宋"/>
                <w:sz w:val="24"/>
                <w:szCs w:val="24"/>
              </w:rPr>
            </w:pPr>
            <w:r>
              <w:rPr>
                <w:rFonts w:eastAsia="仿宋"/>
                <w:sz w:val="24"/>
                <w:szCs w:val="24"/>
              </w:rPr>
              <w:t xml:space="preserve">10.1.2 </w:t>
            </w:r>
            <w:r>
              <w:rPr>
                <w:rFonts w:eastAsia="仿宋"/>
                <w:sz w:val="24"/>
                <w:szCs w:val="24"/>
              </w:rPr>
              <w:t>转运车辆离开区域性集中收集场所、规模化养殖场或散养户前，应对车辆厢体和轮胎进行消毒。</w:t>
            </w:r>
          </w:p>
        </w:tc>
      </w:tr>
      <w:tr w:rsidR="000E76B9" w14:paraId="44580BFF" w14:textId="77777777">
        <w:trPr>
          <w:trHeight w:val="458"/>
        </w:trPr>
        <w:tc>
          <w:tcPr>
            <w:tcW w:w="200" w:type="pct"/>
            <w:tcBorders>
              <w:top w:val="single" w:sz="2" w:space="0" w:color="000000"/>
              <w:left w:val="single" w:sz="2" w:space="0" w:color="000000"/>
              <w:bottom w:val="single" w:sz="2" w:space="0" w:color="000000"/>
              <w:right w:val="single" w:sz="2" w:space="0" w:color="000000"/>
            </w:tcBorders>
            <w:vAlign w:val="center"/>
          </w:tcPr>
          <w:p w14:paraId="794FE2C5" w14:textId="77777777" w:rsidR="000E76B9" w:rsidRDefault="00A86600">
            <w:pPr>
              <w:snapToGrid w:val="0"/>
              <w:spacing w:line="260" w:lineRule="exact"/>
              <w:jc w:val="left"/>
              <w:rPr>
                <w:rFonts w:eastAsia="仿宋"/>
                <w:sz w:val="24"/>
                <w:szCs w:val="24"/>
              </w:rPr>
            </w:pPr>
            <w:r>
              <w:rPr>
                <w:rFonts w:eastAsia="仿宋"/>
                <w:sz w:val="24"/>
                <w:szCs w:val="24"/>
              </w:rPr>
              <w:lastRenderedPageBreak/>
              <w:t>暂存</w:t>
            </w:r>
          </w:p>
        </w:tc>
        <w:tc>
          <w:tcPr>
            <w:tcW w:w="1009" w:type="pct"/>
            <w:tcBorders>
              <w:top w:val="single" w:sz="2" w:space="0" w:color="000000"/>
              <w:left w:val="single" w:sz="2" w:space="0" w:color="000000"/>
              <w:bottom w:val="single" w:sz="2" w:space="0" w:color="000000"/>
              <w:right w:val="single" w:sz="2" w:space="0" w:color="000000"/>
            </w:tcBorders>
            <w:vAlign w:val="center"/>
          </w:tcPr>
          <w:p w14:paraId="08BB876C" w14:textId="77777777" w:rsidR="000E76B9" w:rsidRDefault="00A86600">
            <w:pPr>
              <w:snapToGrid w:val="0"/>
              <w:spacing w:line="260" w:lineRule="exact"/>
              <w:jc w:val="left"/>
              <w:rPr>
                <w:rFonts w:eastAsia="仿宋"/>
                <w:sz w:val="24"/>
                <w:szCs w:val="24"/>
              </w:rPr>
            </w:pPr>
            <w:r>
              <w:rPr>
                <w:rFonts w:eastAsia="仿宋"/>
                <w:sz w:val="24"/>
                <w:szCs w:val="24"/>
              </w:rPr>
              <w:t xml:space="preserve">4.4.1 </w:t>
            </w:r>
            <w:r>
              <w:rPr>
                <w:rFonts w:eastAsia="仿宋"/>
                <w:sz w:val="24"/>
                <w:szCs w:val="24"/>
              </w:rPr>
              <w:t>物料卸料区应密闭负压，恶臭（异味）污染物经集中收集处理达标后排放。物料卸料区应定期喷洒除臭剂。</w:t>
            </w:r>
          </w:p>
          <w:p w14:paraId="1D46E46C" w14:textId="77777777" w:rsidR="000E76B9" w:rsidRDefault="00A86600">
            <w:pPr>
              <w:snapToGrid w:val="0"/>
              <w:spacing w:line="260" w:lineRule="exact"/>
              <w:jc w:val="left"/>
              <w:rPr>
                <w:rFonts w:eastAsia="仿宋"/>
                <w:sz w:val="24"/>
                <w:szCs w:val="24"/>
              </w:rPr>
            </w:pPr>
            <w:r>
              <w:rPr>
                <w:rFonts w:eastAsia="仿宋"/>
                <w:sz w:val="24"/>
                <w:szCs w:val="24"/>
              </w:rPr>
              <w:t xml:space="preserve">4.4.2 </w:t>
            </w:r>
            <w:r>
              <w:rPr>
                <w:rFonts w:eastAsia="仿宋"/>
                <w:sz w:val="24"/>
                <w:szCs w:val="24"/>
              </w:rPr>
              <w:t>物料卸料区进出口应设置自动门，无物料进出时，应关闭自动门。物料应直接卸入料仓，不能及时处理的物料应卸至周转箱，运入冷库暂存。卸料区和冷库应设有风幕和恶臭（异味）污染物收集系统。</w:t>
            </w:r>
          </w:p>
          <w:p w14:paraId="43B5C0D3"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4.4.3 </w:t>
            </w:r>
            <w:r>
              <w:rPr>
                <w:rFonts w:eastAsia="仿宋"/>
                <w:sz w:val="24"/>
                <w:szCs w:val="24"/>
              </w:rPr>
              <w:t>料仓为密闭结构，仅在投料时打开。料仓内废气经收集进入车间除臭系统或进入焚烧炉处理后排放。</w:t>
            </w:r>
          </w:p>
        </w:tc>
        <w:tc>
          <w:tcPr>
            <w:tcW w:w="915" w:type="pct"/>
            <w:tcBorders>
              <w:top w:val="single" w:sz="2" w:space="0" w:color="000000"/>
              <w:left w:val="single" w:sz="2" w:space="0" w:color="000000"/>
              <w:bottom w:val="single" w:sz="2" w:space="0" w:color="000000"/>
              <w:right w:val="single" w:sz="2" w:space="0" w:color="000000"/>
            </w:tcBorders>
            <w:vAlign w:val="center"/>
          </w:tcPr>
          <w:p w14:paraId="2EB34455"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5.2.1 </w:t>
            </w:r>
            <w:r>
              <w:rPr>
                <w:rFonts w:eastAsia="仿宋"/>
                <w:sz w:val="24"/>
                <w:szCs w:val="24"/>
              </w:rPr>
              <w:t>采用冷冻或冷藏方式进行暂存，防止无害化处理前病死及病害动物和相关动物产品腐败。</w:t>
            </w:r>
          </w:p>
          <w:p w14:paraId="2E513703" w14:textId="77777777" w:rsidR="000E76B9" w:rsidRDefault="00A86600">
            <w:pPr>
              <w:snapToGrid w:val="0"/>
              <w:spacing w:line="260" w:lineRule="exact"/>
              <w:jc w:val="left"/>
              <w:rPr>
                <w:rFonts w:eastAsia="仿宋"/>
                <w:sz w:val="24"/>
                <w:szCs w:val="24"/>
              </w:rPr>
            </w:pPr>
            <w:r>
              <w:rPr>
                <w:rFonts w:eastAsia="仿宋"/>
                <w:sz w:val="24"/>
                <w:szCs w:val="24"/>
              </w:rPr>
              <w:t xml:space="preserve">5.2.2 </w:t>
            </w:r>
            <w:r>
              <w:rPr>
                <w:rFonts w:eastAsia="仿宋"/>
                <w:sz w:val="24"/>
                <w:szCs w:val="24"/>
              </w:rPr>
              <w:t>暂存场所应能防水、防渗、防鼠、防盗，易于清洗和消毒。</w:t>
            </w:r>
          </w:p>
          <w:p w14:paraId="7CB84886" w14:textId="77777777" w:rsidR="000E76B9" w:rsidRDefault="00A86600">
            <w:pPr>
              <w:snapToGrid w:val="0"/>
              <w:spacing w:line="260" w:lineRule="exact"/>
              <w:jc w:val="left"/>
              <w:rPr>
                <w:rFonts w:eastAsia="仿宋"/>
                <w:sz w:val="24"/>
                <w:szCs w:val="24"/>
              </w:rPr>
            </w:pPr>
            <w:r>
              <w:rPr>
                <w:rFonts w:eastAsia="仿宋"/>
                <w:sz w:val="24"/>
                <w:szCs w:val="24"/>
              </w:rPr>
              <w:t xml:space="preserve">5.2.4 </w:t>
            </w:r>
            <w:r>
              <w:rPr>
                <w:rFonts w:eastAsia="仿宋"/>
                <w:sz w:val="24"/>
                <w:szCs w:val="24"/>
              </w:rPr>
              <w:t>应定期对暂存场所及周边环境进行清洗消毒。</w:t>
            </w:r>
          </w:p>
        </w:tc>
        <w:tc>
          <w:tcPr>
            <w:tcW w:w="915" w:type="pct"/>
            <w:tcBorders>
              <w:top w:val="single" w:sz="2" w:space="0" w:color="000000"/>
              <w:left w:val="single" w:sz="2" w:space="0" w:color="000000"/>
              <w:bottom w:val="single" w:sz="2" w:space="0" w:color="000000"/>
              <w:right w:val="single" w:sz="2" w:space="0" w:color="000000"/>
            </w:tcBorders>
            <w:vAlign w:val="center"/>
          </w:tcPr>
          <w:p w14:paraId="44C34619" w14:textId="77777777" w:rsidR="000E76B9" w:rsidRDefault="00A86600">
            <w:pPr>
              <w:snapToGrid w:val="0"/>
              <w:spacing w:line="260" w:lineRule="exact"/>
              <w:jc w:val="left"/>
              <w:rPr>
                <w:rFonts w:eastAsia="仿宋"/>
                <w:sz w:val="24"/>
                <w:szCs w:val="24"/>
              </w:rPr>
            </w:pPr>
            <w:r>
              <w:rPr>
                <w:rFonts w:eastAsia="仿宋"/>
                <w:sz w:val="24"/>
                <w:szCs w:val="24"/>
              </w:rPr>
              <w:t xml:space="preserve">7.1 </w:t>
            </w:r>
            <w:r>
              <w:rPr>
                <w:rFonts w:eastAsia="仿宋"/>
                <w:sz w:val="24"/>
                <w:szCs w:val="24"/>
              </w:rPr>
              <w:t>卸载后的物料应存放在密闭容器或封闭场所。</w:t>
            </w:r>
          </w:p>
          <w:p w14:paraId="12650C05" w14:textId="77777777" w:rsidR="000E76B9" w:rsidRDefault="00A86600">
            <w:pPr>
              <w:snapToGrid w:val="0"/>
              <w:spacing w:line="260" w:lineRule="exact"/>
              <w:jc w:val="left"/>
              <w:rPr>
                <w:rFonts w:eastAsia="仿宋"/>
                <w:sz w:val="24"/>
                <w:szCs w:val="24"/>
              </w:rPr>
            </w:pPr>
            <w:r>
              <w:rPr>
                <w:rFonts w:eastAsia="仿宋"/>
                <w:sz w:val="24"/>
                <w:szCs w:val="24"/>
              </w:rPr>
              <w:t xml:space="preserve">7.2 </w:t>
            </w:r>
            <w:r>
              <w:rPr>
                <w:rFonts w:eastAsia="仿宋"/>
                <w:sz w:val="24"/>
                <w:szCs w:val="24"/>
              </w:rPr>
              <w:t>卸载后的物料宜在</w:t>
            </w:r>
            <w:r>
              <w:rPr>
                <w:rFonts w:eastAsia="仿宋"/>
                <w:sz w:val="24"/>
                <w:szCs w:val="24"/>
              </w:rPr>
              <w:t>24h</w:t>
            </w:r>
            <w:r>
              <w:rPr>
                <w:rFonts w:eastAsia="仿宋"/>
                <w:sz w:val="24"/>
                <w:szCs w:val="24"/>
              </w:rPr>
              <w:t>内处理完毕，如不能在上述时间内处理完毕的，应入冷库存放。</w:t>
            </w:r>
          </w:p>
        </w:tc>
        <w:tc>
          <w:tcPr>
            <w:tcW w:w="915" w:type="pct"/>
            <w:tcBorders>
              <w:top w:val="single" w:sz="2" w:space="0" w:color="000000"/>
              <w:left w:val="single" w:sz="2" w:space="0" w:color="000000"/>
              <w:bottom w:val="single" w:sz="2" w:space="0" w:color="000000"/>
              <w:right w:val="single" w:sz="2" w:space="0" w:color="000000"/>
            </w:tcBorders>
            <w:vAlign w:val="center"/>
          </w:tcPr>
          <w:p w14:paraId="498AD49D"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1043" w:type="pct"/>
            <w:tcBorders>
              <w:top w:val="single" w:sz="2" w:space="0" w:color="000000"/>
              <w:left w:val="single" w:sz="2" w:space="0" w:color="000000"/>
              <w:bottom w:val="single" w:sz="2" w:space="0" w:color="000000"/>
              <w:right w:val="single" w:sz="2" w:space="0" w:color="000000"/>
            </w:tcBorders>
            <w:vAlign w:val="center"/>
          </w:tcPr>
          <w:p w14:paraId="6E0B58BC" w14:textId="77777777" w:rsidR="000E76B9" w:rsidRDefault="00A86600">
            <w:pPr>
              <w:snapToGrid w:val="0"/>
              <w:spacing w:line="260" w:lineRule="exact"/>
              <w:jc w:val="left"/>
              <w:rPr>
                <w:rFonts w:eastAsia="仿宋"/>
                <w:sz w:val="24"/>
                <w:szCs w:val="24"/>
              </w:rPr>
            </w:pPr>
            <w:r>
              <w:rPr>
                <w:rFonts w:eastAsia="仿宋"/>
                <w:sz w:val="24"/>
                <w:szCs w:val="24"/>
              </w:rPr>
              <w:t>/</w:t>
            </w:r>
          </w:p>
        </w:tc>
      </w:tr>
      <w:tr w:rsidR="000E76B9" w14:paraId="68FC3D5B" w14:textId="77777777">
        <w:trPr>
          <w:trHeight w:val="458"/>
        </w:trPr>
        <w:tc>
          <w:tcPr>
            <w:tcW w:w="200" w:type="pct"/>
            <w:tcBorders>
              <w:top w:val="single" w:sz="2" w:space="0" w:color="000000"/>
              <w:left w:val="single" w:sz="2" w:space="0" w:color="000000"/>
              <w:bottom w:val="single" w:sz="2" w:space="0" w:color="000000"/>
              <w:right w:val="single" w:sz="2" w:space="0" w:color="000000"/>
            </w:tcBorders>
            <w:vAlign w:val="center"/>
          </w:tcPr>
          <w:p w14:paraId="00D11E77" w14:textId="77777777" w:rsidR="000E76B9" w:rsidRDefault="00A86600">
            <w:pPr>
              <w:snapToGrid w:val="0"/>
              <w:spacing w:line="260" w:lineRule="exact"/>
              <w:jc w:val="left"/>
              <w:rPr>
                <w:rFonts w:eastAsia="仿宋"/>
                <w:sz w:val="24"/>
                <w:szCs w:val="24"/>
              </w:rPr>
            </w:pPr>
            <w:r>
              <w:rPr>
                <w:rFonts w:eastAsia="仿宋"/>
                <w:sz w:val="24"/>
                <w:szCs w:val="24"/>
              </w:rPr>
              <w:t>处理</w:t>
            </w:r>
          </w:p>
        </w:tc>
        <w:tc>
          <w:tcPr>
            <w:tcW w:w="1009" w:type="pct"/>
            <w:tcBorders>
              <w:top w:val="single" w:sz="2" w:space="0" w:color="000000"/>
              <w:left w:val="single" w:sz="2" w:space="0" w:color="000000"/>
              <w:bottom w:val="single" w:sz="2" w:space="0" w:color="000000"/>
              <w:right w:val="single" w:sz="2" w:space="0" w:color="000000"/>
            </w:tcBorders>
            <w:vAlign w:val="center"/>
          </w:tcPr>
          <w:p w14:paraId="718A7320" w14:textId="77777777" w:rsidR="000E76B9" w:rsidRDefault="00A86600">
            <w:pPr>
              <w:snapToGrid w:val="0"/>
              <w:spacing w:line="260" w:lineRule="exact"/>
              <w:jc w:val="left"/>
              <w:rPr>
                <w:rFonts w:eastAsia="仿宋"/>
                <w:sz w:val="24"/>
                <w:szCs w:val="24"/>
              </w:rPr>
            </w:pPr>
            <w:r>
              <w:rPr>
                <w:rFonts w:eastAsia="仿宋"/>
                <w:sz w:val="24"/>
                <w:szCs w:val="24"/>
              </w:rPr>
              <w:t xml:space="preserve">4.5 </w:t>
            </w:r>
            <w:r>
              <w:rPr>
                <w:rFonts w:eastAsia="仿宋"/>
                <w:sz w:val="24"/>
                <w:szCs w:val="24"/>
              </w:rPr>
              <w:t>无害化处理过程控制</w:t>
            </w:r>
          </w:p>
          <w:p w14:paraId="676F7FCB" w14:textId="77777777" w:rsidR="000E76B9" w:rsidRDefault="00A86600">
            <w:pPr>
              <w:snapToGrid w:val="0"/>
              <w:spacing w:line="260" w:lineRule="exact"/>
              <w:jc w:val="left"/>
              <w:rPr>
                <w:rFonts w:eastAsia="仿宋"/>
                <w:sz w:val="24"/>
                <w:szCs w:val="24"/>
              </w:rPr>
            </w:pPr>
            <w:r>
              <w:rPr>
                <w:rFonts w:eastAsia="仿宋"/>
                <w:sz w:val="24"/>
                <w:szCs w:val="24"/>
              </w:rPr>
              <w:t xml:space="preserve">4.5.4 </w:t>
            </w:r>
            <w:r>
              <w:rPr>
                <w:rFonts w:eastAsia="仿宋"/>
                <w:sz w:val="24"/>
                <w:szCs w:val="24"/>
              </w:rPr>
              <w:t>焚烧炉应设置选择性非催化还原（</w:t>
            </w:r>
            <w:r>
              <w:rPr>
                <w:rFonts w:eastAsia="仿宋"/>
                <w:sz w:val="24"/>
                <w:szCs w:val="24"/>
              </w:rPr>
              <w:t>Selective Non-Catalytic Reduction</w:t>
            </w:r>
            <w:r>
              <w:rPr>
                <w:rFonts w:eastAsia="仿宋"/>
                <w:sz w:val="24"/>
                <w:szCs w:val="24"/>
              </w:rPr>
              <w:t>，</w:t>
            </w:r>
            <w:r>
              <w:rPr>
                <w:rFonts w:eastAsia="仿宋"/>
                <w:sz w:val="24"/>
                <w:szCs w:val="24"/>
              </w:rPr>
              <w:t>SNCR</w:t>
            </w:r>
            <w:r>
              <w:rPr>
                <w:rFonts w:eastAsia="仿宋"/>
                <w:sz w:val="24"/>
                <w:szCs w:val="24"/>
              </w:rPr>
              <w:t>）脱硝、急冷塔、旋风除尘、干法或半干法或湿法脱酸、活性炭、布袋除尘等烟气净化设施。焚烧物料产生的恶臭（异味）污染物，在炉内与烟气一起通过焚烧炉烟气净化设施处理后达标排放。</w:t>
            </w:r>
          </w:p>
        </w:tc>
        <w:tc>
          <w:tcPr>
            <w:tcW w:w="915" w:type="pct"/>
            <w:tcBorders>
              <w:top w:val="single" w:sz="2" w:space="0" w:color="000000"/>
              <w:left w:val="single" w:sz="2" w:space="0" w:color="000000"/>
              <w:bottom w:val="single" w:sz="2" w:space="0" w:color="000000"/>
              <w:right w:val="single" w:sz="2" w:space="0" w:color="000000"/>
            </w:tcBorders>
            <w:vAlign w:val="center"/>
          </w:tcPr>
          <w:p w14:paraId="3B868D27" w14:textId="77777777" w:rsidR="000E76B9" w:rsidRDefault="00A86600">
            <w:pPr>
              <w:snapToGrid w:val="0"/>
              <w:spacing w:line="260" w:lineRule="exact"/>
              <w:jc w:val="left"/>
              <w:rPr>
                <w:rFonts w:eastAsia="仿宋"/>
                <w:sz w:val="24"/>
                <w:szCs w:val="24"/>
              </w:rPr>
            </w:pPr>
            <w:r>
              <w:rPr>
                <w:rFonts w:eastAsia="仿宋"/>
                <w:sz w:val="24"/>
                <w:szCs w:val="24"/>
              </w:rPr>
              <w:t xml:space="preserve">4.1.2 </w:t>
            </w:r>
            <w:r>
              <w:rPr>
                <w:rFonts w:eastAsia="仿宋"/>
                <w:sz w:val="24"/>
                <w:szCs w:val="24"/>
              </w:rPr>
              <w:t>直接焚烧法</w:t>
            </w:r>
          </w:p>
          <w:p w14:paraId="33E1D50E" w14:textId="77777777" w:rsidR="000E76B9" w:rsidRDefault="00A86600">
            <w:pPr>
              <w:snapToGrid w:val="0"/>
              <w:spacing w:line="260" w:lineRule="exact"/>
              <w:jc w:val="left"/>
              <w:rPr>
                <w:rFonts w:eastAsia="仿宋"/>
                <w:sz w:val="24"/>
                <w:szCs w:val="24"/>
              </w:rPr>
            </w:pPr>
            <w:r>
              <w:rPr>
                <w:rFonts w:eastAsia="仿宋"/>
                <w:sz w:val="24"/>
                <w:szCs w:val="24"/>
              </w:rPr>
              <w:t xml:space="preserve">4.1.2.1.4 </w:t>
            </w:r>
            <w:r>
              <w:rPr>
                <w:rFonts w:eastAsia="仿宋"/>
                <w:sz w:val="24"/>
                <w:szCs w:val="24"/>
              </w:rPr>
              <w:t>二次燃烧室出口烟气经余热利用系统、烟气净化系统处理，达到</w:t>
            </w:r>
            <w:r>
              <w:rPr>
                <w:rFonts w:eastAsia="仿宋"/>
                <w:sz w:val="24"/>
                <w:szCs w:val="24"/>
              </w:rPr>
              <w:t>GB16297</w:t>
            </w:r>
            <w:r>
              <w:rPr>
                <w:rFonts w:eastAsia="仿宋"/>
                <w:sz w:val="24"/>
                <w:szCs w:val="24"/>
              </w:rPr>
              <w:t>要求后排放。</w:t>
            </w:r>
          </w:p>
          <w:p w14:paraId="79B7434A" w14:textId="77777777" w:rsidR="000E76B9" w:rsidRDefault="00A86600">
            <w:pPr>
              <w:snapToGrid w:val="0"/>
              <w:spacing w:line="260" w:lineRule="exact"/>
              <w:jc w:val="left"/>
              <w:rPr>
                <w:rFonts w:eastAsia="仿宋"/>
                <w:sz w:val="24"/>
                <w:szCs w:val="24"/>
              </w:rPr>
            </w:pPr>
            <w:r>
              <w:rPr>
                <w:rFonts w:eastAsia="仿宋"/>
                <w:sz w:val="24"/>
                <w:szCs w:val="24"/>
              </w:rPr>
              <w:t xml:space="preserve">4.1.2.2.4 </w:t>
            </w:r>
            <w:r>
              <w:rPr>
                <w:rFonts w:eastAsia="仿宋"/>
                <w:sz w:val="24"/>
                <w:szCs w:val="24"/>
              </w:rPr>
              <w:t>烟气净化系统，包括急冷塔、引风机等设施。</w:t>
            </w:r>
          </w:p>
          <w:p w14:paraId="069D597C" w14:textId="77777777" w:rsidR="000E76B9" w:rsidRDefault="00A86600">
            <w:pPr>
              <w:snapToGrid w:val="0"/>
              <w:spacing w:line="260" w:lineRule="exact"/>
              <w:jc w:val="left"/>
              <w:rPr>
                <w:rFonts w:eastAsia="仿宋"/>
                <w:sz w:val="24"/>
                <w:szCs w:val="24"/>
              </w:rPr>
            </w:pPr>
            <w:r>
              <w:rPr>
                <w:rFonts w:eastAsia="仿宋"/>
                <w:sz w:val="24"/>
                <w:szCs w:val="24"/>
              </w:rPr>
              <w:t xml:space="preserve">4.1.3 </w:t>
            </w:r>
            <w:r>
              <w:rPr>
                <w:rFonts w:eastAsia="仿宋"/>
                <w:sz w:val="24"/>
                <w:szCs w:val="24"/>
              </w:rPr>
              <w:t>炭化焚烧法</w:t>
            </w:r>
          </w:p>
          <w:p w14:paraId="5D7E973A" w14:textId="77777777" w:rsidR="000E76B9" w:rsidRDefault="00A86600">
            <w:pPr>
              <w:snapToGrid w:val="0"/>
              <w:spacing w:line="260" w:lineRule="exact"/>
              <w:jc w:val="left"/>
              <w:rPr>
                <w:rFonts w:eastAsia="仿宋"/>
                <w:sz w:val="24"/>
                <w:szCs w:val="24"/>
              </w:rPr>
            </w:pPr>
            <w:r>
              <w:rPr>
                <w:rFonts w:eastAsia="仿宋"/>
                <w:sz w:val="24"/>
                <w:szCs w:val="24"/>
              </w:rPr>
              <w:t xml:space="preserve">4.1.3.1.3 </w:t>
            </w:r>
            <w:r>
              <w:rPr>
                <w:rFonts w:eastAsia="仿宋"/>
                <w:sz w:val="24"/>
                <w:szCs w:val="24"/>
              </w:rPr>
              <w:t>烟气经过热解炭化室热能回收后，降至</w:t>
            </w:r>
            <w:r>
              <w:rPr>
                <w:rFonts w:eastAsia="仿宋"/>
                <w:sz w:val="24"/>
                <w:szCs w:val="24"/>
              </w:rPr>
              <w:t>600℃</w:t>
            </w:r>
            <w:r>
              <w:rPr>
                <w:rFonts w:eastAsia="仿宋"/>
                <w:sz w:val="24"/>
                <w:szCs w:val="24"/>
              </w:rPr>
              <w:t>左右，经烟气净化系统处理，达到</w:t>
            </w:r>
            <w:r>
              <w:rPr>
                <w:rFonts w:eastAsia="仿宋"/>
                <w:sz w:val="24"/>
                <w:szCs w:val="24"/>
              </w:rPr>
              <w:t>GB16297</w:t>
            </w:r>
            <w:r>
              <w:rPr>
                <w:rFonts w:eastAsia="仿宋"/>
                <w:sz w:val="24"/>
                <w:szCs w:val="24"/>
              </w:rPr>
              <w:t>要求后排放。</w:t>
            </w:r>
          </w:p>
        </w:tc>
        <w:tc>
          <w:tcPr>
            <w:tcW w:w="915" w:type="pct"/>
            <w:tcBorders>
              <w:top w:val="single" w:sz="2" w:space="0" w:color="000000"/>
              <w:left w:val="single" w:sz="2" w:space="0" w:color="000000"/>
              <w:bottom w:val="single" w:sz="2" w:space="0" w:color="000000"/>
              <w:right w:val="single" w:sz="2" w:space="0" w:color="000000"/>
            </w:tcBorders>
            <w:vAlign w:val="center"/>
          </w:tcPr>
          <w:p w14:paraId="5C7C7A37"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915" w:type="pct"/>
            <w:tcBorders>
              <w:top w:val="single" w:sz="2" w:space="0" w:color="000000"/>
              <w:left w:val="single" w:sz="2" w:space="0" w:color="000000"/>
              <w:bottom w:val="single" w:sz="2" w:space="0" w:color="000000"/>
              <w:right w:val="single" w:sz="2" w:space="0" w:color="000000"/>
            </w:tcBorders>
            <w:vAlign w:val="center"/>
          </w:tcPr>
          <w:p w14:paraId="2E696A45" w14:textId="77777777" w:rsidR="000E76B9" w:rsidRDefault="00A86600">
            <w:pPr>
              <w:snapToGrid w:val="0"/>
              <w:spacing w:line="260" w:lineRule="exact"/>
              <w:jc w:val="left"/>
              <w:rPr>
                <w:rFonts w:eastAsia="仿宋"/>
                <w:sz w:val="24"/>
                <w:szCs w:val="24"/>
              </w:rPr>
            </w:pPr>
            <w:r>
              <w:rPr>
                <w:rFonts w:eastAsia="仿宋"/>
                <w:sz w:val="24"/>
                <w:szCs w:val="24"/>
              </w:rPr>
              <w:t xml:space="preserve">5 </w:t>
            </w:r>
            <w:r>
              <w:rPr>
                <w:rFonts w:eastAsia="仿宋"/>
                <w:sz w:val="24"/>
                <w:szCs w:val="24"/>
              </w:rPr>
              <w:t>场地与设施</w:t>
            </w:r>
          </w:p>
          <w:p w14:paraId="1D1EAE30" w14:textId="77777777" w:rsidR="000E76B9" w:rsidRDefault="00A86600">
            <w:pPr>
              <w:snapToGrid w:val="0"/>
              <w:spacing w:line="260" w:lineRule="exact"/>
              <w:jc w:val="left"/>
              <w:rPr>
                <w:rFonts w:eastAsia="仿宋"/>
                <w:sz w:val="24"/>
                <w:szCs w:val="24"/>
              </w:rPr>
            </w:pPr>
            <w:r>
              <w:rPr>
                <w:rFonts w:eastAsia="仿宋"/>
                <w:sz w:val="24"/>
                <w:szCs w:val="24"/>
              </w:rPr>
              <w:t xml:space="preserve">5.5 </w:t>
            </w:r>
            <w:r>
              <w:rPr>
                <w:rFonts w:eastAsia="仿宋"/>
                <w:sz w:val="24"/>
                <w:szCs w:val="24"/>
              </w:rPr>
              <w:t>应配备消毒设施，包括高压冲洗机、喷雾消毒机等。</w:t>
            </w:r>
          </w:p>
          <w:p w14:paraId="3D0D281A" w14:textId="77777777" w:rsidR="000E76B9" w:rsidRDefault="00A86600">
            <w:pPr>
              <w:snapToGrid w:val="0"/>
              <w:spacing w:line="260" w:lineRule="exact"/>
              <w:jc w:val="left"/>
              <w:rPr>
                <w:rFonts w:eastAsia="仿宋"/>
                <w:sz w:val="24"/>
                <w:szCs w:val="24"/>
              </w:rPr>
            </w:pPr>
            <w:r>
              <w:rPr>
                <w:rFonts w:eastAsia="仿宋"/>
                <w:sz w:val="24"/>
                <w:szCs w:val="24"/>
              </w:rPr>
              <w:t xml:space="preserve">5.6 </w:t>
            </w:r>
            <w:r>
              <w:rPr>
                <w:rFonts w:eastAsia="仿宋"/>
                <w:sz w:val="24"/>
                <w:szCs w:val="24"/>
              </w:rPr>
              <w:t>应配备臭气收集处理设施，处理后的臭气应符合</w:t>
            </w:r>
            <w:r>
              <w:rPr>
                <w:rFonts w:eastAsia="仿宋"/>
                <w:sz w:val="24"/>
                <w:szCs w:val="24"/>
              </w:rPr>
              <w:t>GB14554</w:t>
            </w:r>
            <w:r>
              <w:rPr>
                <w:rFonts w:eastAsia="仿宋"/>
                <w:sz w:val="24"/>
                <w:szCs w:val="24"/>
              </w:rPr>
              <w:t>的要求。</w:t>
            </w:r>
          </w:p>
        </w:tc>
        <w:tc>
          <w:tcPr>
            <w:tcW w:w="1043" w:type="pct"/>
            <w:tcBorders>
              <w:top w:val="single" w:sz="2" w:space="0" w:color="000000"/>
              <w:left w:val="single" w:sz="2" w:space="0" w:color="000000"/>
              <w:bottom w:val="single" w:sz="2" w:space="0" w:color="000000"/>
              <w:right w:val="single" w:sz="2" w:space="0" w:color="000000"/>
            </w:tcBorders>
            <w:vAlign w:val="center"/>
          </w:tcPr>
          <w:p w14:paraId="3CC83DEB" w14:textId="77777777" w:rsidR="000E76B9" w:rsidRDefault="00A86600">
            <w:pPr>
              <w:snapToGrid w:val="0"/>
              <w:spacing w:line="260" w:lineRule="exact"/>
              <w:jc w:val="left"/>
              <w:rPr>
                <w:rFonts w:eastAsia="仿宋"/>
                <w:sz w:val="24"/>
                <w:szCs w:val="24"/>
              </w:rPr>
            </w:pPr>
            <w:r>
              <w:rPr>
                <w:rFonts w:eastAsia="仿宋"/>
                <w:sz w:val="24"/>
                <w:szCs w:val="24"/>
              </w:rPr>
              <w:t>/</w:t>
            </w:r>
          </w:p>
        </w:tc>
      </w:tr>
    </w:tbl>
    <w:p w14:paraId="2FCAB5DC" w14:textId="77777777" w:rsidR="000E76B9" w:rsidRDefault="000E76B9">
      <w:pPr>
        <w:adjustRightInd w:val="0"/>
        <w:snapToGrid w:val="0"/>
        <w:spacing w:line="360" w:lineRule="auto"/>
        <w:jc w:val="center"/>
        <w:rPr>
          <w:color w:val="FF0000"/>
          <w:sz w:val="24"/>
          <w:szCs w:val="24"/>
        </w:rPr>
      </w:pPr>
    </w:p>
    <w:p w14:paraId="0EAF7EAF" w14:textId="77777777" w:rsidR="000E76B9" w:rsidRDefault="000E76B9">
      <w:pPr>
        <w:adjustRightInd w:val="0"/>
        <w:snapToGrid w:val="0"/>
        <w:spacing w:line="360" w:lineRule="auto"/>
        <w:jc w:val="center"/>
        <w:rPr>
          <w:rFonts w:eastAsia="仿宋"/>
          <w:sz w:val="28"/>
          <w:szCs w:val="28"/>
        </w:rPr>
        <w:sectPr w:rsidR="000E76B9">
          <w:pgSz w:w="16838" w:h="11906" w:orient="landscape"/>
          <w:pgMar w:top="1803" w:right="1440" w:bottom="1803" w:left="1440" w:header="851" w:footer="992" w:gutter="0"/>
          <w:cols w:space="0"/>
          <w:docGrid w:type="lines" w:linePitch="319"/>
        </w:sectPr>
      </w:pPr>
    </w:p>
    <w:p w14:paraId="7D9BB72B" w14:textId="77777777" w:rsidR="000E76B9" w:rsidRDefault="00A86600">
      <w:pPr>
        <w:adjustRightInd w:val="0"/>
        <w:snapToGrid w:val="0"/>
        <w:spacing w:line="360" w:lineRule="auto"/>
        <w:jc w:val="center"/>
        <w:rPr>
          <w:rFonts w:eastAsia="仿宋"/>
          <w:b/>
          <w:bCs/>
          <w:sz w:val="28"/>
          <w:szCs w:val="28"/>
        </w:rPr>
      </w:pPr>
      <w:r>
        <w:rPr>
          <w:rFonts w:eastAsia="仿宋"/>
          <w:b/>
          <w:bCs/>
          <w:sz w:val="28"/>
          <w:szCs w:val="28"/>
        </w:rPr>
        <w:lastRenderedPageBreak/>
        <w:t>表</w:t>
      </w:r>
      <w:r>
        <w:rPr>
          <w:rFonts w:eastAsia="仿宋" w:hint="eastAsia"/>
          <w:b/>
          <w:bCs/>
          <w:sz w:val="28"/>
          <w:szCs w:val="28"/>
        </w:rPr>
        <w:t>6</w:t>
      </w:r>
      <w:r>
        <w:rPr>
          <w:rFonts w:eastAsia="仿宋"/>
          <w:b/>
          <w:bCs/>
          <w:sz w:val="28"/>
          <w:szCs w:val="28"/>
        </w:rPr>
        <w:t>-2</w:t>
      </w:r>
      <w:r>
        <w:rPr>
          <w:rFonts w:eastAsia="仿宋"/>
          <w:b/>
          <w:bCs/>
          <w:sz w:val="28"/>
          <w:szCs w:val="28"/>
        </w:rPr>
        <w:t>本标准与其他省市地方标准的对比</w:t>
      </w:r>
    </w:p>
    <w:tbl>
      <w:tblPr>
        <w:tblW w:w="5245" w:type="pct"/>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875"/>
        <w:gridCol w:w="2517"/>
        <w:gridCol w:w="1431"/>
        <w:gridCol w:w="1674"/>
        <w:gridCol w:w="1779"/>
        <w:gridCol w:w="1846"/>
        <w:gridCol w:w="1826"/>
      </w:tblGrid>
      <w:tr w:rsidR="000E76B9" w14:paraId="6713FF88" w14:textId="77777777">
        <w:trPr>
          <w:trHeight w:val="723"/>
          <w:tblHeader/>
        </w:trPr>
        <w:tc>
          <w:tcPr>
            <w:tcW w:w="233" w:type="pct"/>
            <w:vAlign w:val="center"/>
          </w:tcPr>
          <w:p w14:paraId="59CEE448" w14:textId="77777777" w:rsidR="000E76B9" w:rsidRDefault="00A86600">
            <w:pPr>
              <w:snapToGrid w:val="0"/>
              <w:spacing w:line="260" w:lineRule="exact"/>
              <w:jc w:val="center"/>
              <w:rPr>
                <w:rFonts w:eastAsia="仿宋"/>
                <w:sz w:val="24"/>
                <w:szCs w:val="24"/>
              </w:rPr>
            </w:pPr>
            <w:r>
              <w:rPr>
                <w:rFonts w:eastAsia="仿宋"/>
                <w:sz w:val="24"/>
                <w:szCs w:val="24"/>
              </w:rPr>
              <w:t>内容</w:t>
            </w:r>
          </w:p>
        </w:tc>
        <w:tc>
          <w:tcPr>
            <w:tcW w:w="981" w:type="pct"/>
            <w:vAlign w:val="center"/>
          </w:tcPr>
          <w:p w14:paraId="71187B24" w14:textId="77777777" w:rsidR="000E76B9" w:rsidRDefault="00A86600">
            <w:pPr>
              <w:snapToGrid w:val="0"/>
              <w:spacing w:line="260" w:lineRule="exact"/>
              <w:jc w:val="center"/>
              <w:rPr>
                <w:rFonts w:eastAsia="仿宋"/>
                <w:sz w:val="24"/>
                <w:szCs w:val="24"/>
              </w:rPr>
            </w:pPr>
            <w:r>
              <w:rPr>
                <w:rFonts w:eastAsia="仿宋"/>
                <w:sz w:val="24"/>
                <w:szCs w:val="24"/>
              </w:rPr>
              <w:t>本规范</w:t>
            </w:r>
          </w:p>
        </w:tc>
        <w:tc>
          <w:tcPr>
            <w:tcW w:w="859" w:type="pct"/>
            <w:vAlign w:val="center"/>
          </w:tcPr>
          <w:p w14:paraId="5338FDE0" w14:textId="77777777" w:rsidR="000E76B9" w:rsidRDefault="00A86600">
            <w:pPr>
              <w:snapToGrid w:val="0"/>
              <w:spacing w:line="260" w:lineRule="exact"/>
              <w:jc w:val="center"/>
              <w:rPr>
                <w:rFonts w:eastAsia="仿宋"/>
                <w:sz w:val="24"/>
                <w:szCs w:val="24"/>
              </w:rPr>
            </w:pPr>
            <w:r>
              <w:rPr>
                <w:rFonts w:eastAsia="仿宋"/>
                <w:sz w:val="24"/>
                <w:szCs w:val="24"/>
              </w:rPr>
              <w:t>《病死动物无害化处理技术规程》</w:t>
            </w:r>
            <w:r>
              <w:rPr>
                <w:rFonts w:eastAsia="仿宋"/>
                <w:sz w:val="24"/>
                <w:szCs w:val="24"/>
              </w:rPr>
              <w:t>DB65/T 4124-2018</w:t>
            </w:r>
          </w:p>
        </w:tc>
        <w:tc>
          <w:tcPr>
            <w:tcW w:w="489" w:type="pct"/>
            <w:vAlign w:val="center"/>
          </w:tcPr>
          <w:p w14:paraId="4C70667F" w14:textId="77777777" w:rsidR="000E76B9" w:rsidRDefault="00A86600">
            <w:pPr>
              <w:snapToGrid w:val="0"/>
              <w:spacing w:line="260" w:lineRule="exact"/>
              <w:jc w:val="center"/>
              <w:rPr>
                <w:rFonts w:eastAsia="仿宋"/>
                <w:sz w:val="24"/>
                <w:szCs w:val="24"/>
              </w:rPr>
            </w:pPr>
            <w:r>
              <w:rPr>
                <w:rFonts w:eastAsia="仿宋"/>
                <w:sz w:val="24"/>
                <w:szCs w:val="24"/>
              </w:rPr>
              <w:t>《动物尸体无害化处理厂（点）建设规范》</w:t>
            </w:r>
          </w:p>
          <w:p w14:paraId="0F18F41A" w14:textId="77777777" w:rsidR="000E76B9" w:rsidRDefault="00A86600">
            <w:pPr>
              <w:snapToGrid w:val="0"/>
              <w:spacing w:line="260" w:lineRule="exact"/>
              <w:jc w:val="center"/>
              <w:rPr>
                <w:rFonts w:eastAsia="仿宋"/>
                <w:sz w:val="24"/>
                <w:szCs w:val="24"/>
              </w:rPr>
            </w:pPr>
            <w:r>
              <w:rPr>
                <w:rFonts w:eastAsia="仿宋"/>
                <w:sz w:val="24"/>
                <w:szCs w:val="24"/>
              </w:rPr>
              <w:t>DB22/T 2916-2018</w:t>
            </w:r>
          </w:p>
        </w:tc>
        <w:tc>
          <w:tcPr>
            <w:tcW w:w="572" w:type="pct"/>
            <w:vAlign w:val="center"/>
          </w:tcPr>
          <w:p w14:paraId="4B593461" w14:textId="77777777" w:rsidR="000E76B9" w:rsidRDefault="00A86600">
            <w:pPr>
              <w:snapToGrid w:val="0"/>
              <w:spacing w:line="260" w:lineRule="exact"/>
              <w:jc w:val="center"/>
              <w:rPr>
                <w:rFonts w:eastAsia="仿宋"/>
                <w:sz w:val="24"/>
                <w:szCs w:val="24"/>
              </w:rPr>
            </w:pPr>
            <w:r>
              <w:rPr>
                <w:rFonts w:eastAsia="仿宋"/>
                <w:sz w:val="24"/>
                <w:szCs w:val="24"/>
              </w:rPr>
              <w:t>《病死畜禽无害化收运车通用技术规范》</w:t>
            </w:r>
            <w:r>
              <w:rPr>
                <w:rFonts w:eastAsia="仿宋"/>
                <w:sz w:val="24"/>
                <w:szCs w:val="24"/>
              </w:rPr>
              <w:t>DB37/T 4015-2020</w:t>
            </w:r>
          </w:p>
        </w:tc>
        <w:tc>
          <w:tcPr>
            <w:tcW w:w="608" w:type="pct"/>
            <w:vAlign w:val="center"/>
          </w:tcPr>
          <w:p w14:paraId="383B4A26" w14:textId="77777777" w:rsidR="000E76B9" w:rsidRDefault="00A86600">
            <w:pPr>
              <w:snapToGrid w:val="0"/>
              <w:spacing w:line="260" w:lineRule="exact"/>
              <w:jc w:val="center"/>
              <w:rPr>
                <w:rFonts w:eastAsia="仿宋"/>
                <w:sz w:val="24"/>
                <w:szCs w:val="24"/>
              </w:rPr>
            </w:pPr>
            <w:r>
              <w:rPr>
                <w:rFonts w:eastAsia="仿宋"/>
                <w:sz w:val="24"/>
                <w:szCs w:val="24"/>
              </w:rPr>
              <w:t>《陆生野生动物尸体无害化处理技术规范》</w:t>
            </w:r>
          </w:p>
          <w:p w14:paraId="559876A2" w14:textId="77777777" w:rsidR="000E76B9" w:rsidRDefault="00A86600">
            <w:pPr>
              <w:snapToGrid w:val="0"/>
              <w:spacing w:line="260" w:lineRule="exact"/>
              <w:jc w:val="center"/>
              <w:rPr>
                <w:rFonts w:eastAsia="仿宋"/>
                <w:sz w:val="24"/>
                <w:szCs w:val="24"/>
              </w:rPr>
            </w:pPr>
            <w:r>
              <w:rPr>
                <w:rFonts w:eastAsia="仿宋"/>
                <w:sz w:val="24"/>
                <w:szCs w:val="24"/>
              </w:rPr>
              <w:t>DB45/T 2401-2021</w:t>
            </w:r>
          </w:p>
        </w:tc>
        <w:tc>
          <w:tcPr>
            <w:tcW w:w="630" w:type="pct"/>
            <w:vAlign w:val="center"/>
          </w:tcPr>
          <w:p w14:paraId="550C1518" w14:textId="77777777" w:rsidR="000E76B9" w:rsidRDefault="00A86600">
            <w:pPr>
              <w:snapToGrid w:val="0"/>
              <w:spacing w:line="260" w:lineRule="exact"/>
              <w:jc w:val="center"/>
              <w:rPr>
                <w:rFonts w:eastAsia="仿宋"/>
                <w:sz w:val="24"/>
                <w:szCs w:val="24"/>
              </w:rPr>
            </w:pPr>
            <w:r>
              <w:rPr>
                <w:rFonts w:eastAsia="仿宋"/>
                <w:sz w:val="24"/>
                <w:szCs w:val="24"/>
              </w:rPr>
              <w:t>《动物无害化处理技术规范</w:t>
            </w:r>
            <w:r>
              <w:rPr>
                <w:rFonts w:eastAsia="仿宋"/>
                <w:sz w:val="24"/>
                <w:szCs w:val="24"/>
              </w:rPr>
              <w:t xml:space="preserve"> </w:t>
            </w:r>
            <w:r>
              <w:rPr>
                <w:rFonts w:eastAsia="仿宋"/>
                <w:sz w:val="24"/>
                <w:szCs w:val="24"/>
              </w:rPr>
              <w:t>第</w:t>
            </w:r>
            <w:r>
              <w:rPr>
                <w:rFonts w:eastAsia="仿宋"/>
                <w:sz w:val="24"/>
                <w:szCs w:val="24"/>
              </w:rPr>
              <w:t>3</w:t>
            </w:r>
            <w:r>
              <w:rPr>
                <w:rFonts w:eastAsia="仿宋"/>
                <w:sz w:val="24"/>
                <w:szCs w:val="24"/>
              </w:rPr>
              <w:t>部分：无害化处理场》</w:t>
            </w:r>
          </w:p>
          <w:p w14:paraId="4B92174E" w14:textId="77777777" w:rsidR="000E76B9" w:rsidRDefault="00A86600">
            <w:pPr>
              <w:snapToGrid w:val="0"/>
              <w:spacing w:line="260" w:lineRule="exact"/>
              <w:jc w:val="center"/>
              <w:rPr>
                <w:rFonts w:eastAsia="仿宋"/>
                <w:sz w:val="24"/>
                <w:szCs w:val="24"/>
              </w:rPr>
            </w:pPr>
            <w:r>
              <w:rPr>
                <w:rFonts w:eastAsia="仿宋"/>
                <w:sz w:val="24"/>
                <w:szCs w:val="24"/>
              </w:rPr>
              <w:t>DB21/T 3392.3-2021</w:t>
            </w:r>
          </w:p>
        </w:tc>
        <w:tc>
          <w:tcPr>
            <w:tcW w:w="624" w:type="pct"/>
            <w:vAlign w:val="center"/>
          </w:tcPr>
          <w:p w14:paraId="3E94E028" w14:textId="77777777" w:rsidR="000E76B9" w:rsidRDefault="00A86600">
            <w:pPr>
              <w:snapToGrid w:val="0"/>
              <w:spacing w:line="260" w:lineRule="exact"/>
              <w:jc w:val="center"/>
              <w:rPr>
                <w:rFonts w:eastAsia="仿宋"/>
                <w:sz w:val="24"/>
                <w:szCs w:val="24"/>
              </w:rPr>
            </w:pPr>
            <w:r>
              <w:rPr>
                <w:rFonts w:eastAsia="仿宋"/>
                <w:sz w:val="24"/>
                <w:szCs w:val="24"/>
              </w:rPr>
              <w:t>《病害动物及病害动物产品无害化处理技术规程》</w:t>
            </w:r>
          </w:p>
          <w:p w14:paraId="706829AF" w14:textId="77777777" w:rsidR="000E76B9" w:rsidRDefault="00A86600">
            <w:pPr>
              <w:snapToGrid w:val="0"/>
              <w:spacing w:line="260" w:lineRule="exact"/>
              <w:jc w:val="center"/>
              <w:rPr>
                <w:rFonts w:eastAsia="仿宋"/>
                <w:sz w:val="24"/>
                <w:szCs w:val="24"/>
              </w:rPr>
            </w:pPr>
            <w:r>
              <w:rPr>
                <w:rFonts w:eastAsia="仿宋"/>
                <w:sz w:val="24"/>
                <w:szCs w:val="24"/>
              </w:rPr>
              <w:t>DB63/T 1652-2022</w:t>
            </w:r>
          </w:p>
        </w:tc>
      </w:tr>
      <w:tr w:rsidR="000E76B9" w14:paraId="0C585DBB" w14:textId="77777777">
        <w:trPr>
          <w:trHeight w:val="453"/>
        </w:trPr>
        <w:tc>
          <w:tcPr>
            <w:tcW w:w="233" w:type="pct"/>
            <w:vAlign w:val="center"/>
          </w:tcPr>
          <w:p w14:paraId="053EE00C" w14:textId="77777777" w:rsidR="000E76B9" w:rsidRDefault="00A86600">
            <w:pPr>
              <w:snapToGrid w:val="0"/>
              <w:spacing w:line="260" w:lineRule="exact"/>
              <w:jc w:val="left"/>
              <w:rPr>
                <w:rFonts w:eastAsia="仿宋"/>
                <w:sz w:val="24"/>
                <w:szCs w:val="24"/>
              </w:rPr>
            </w:pPr>
            <w:r>
              <w:rPr>
                <w:rFonts w:eastAsia="仿宋"/>
                <w:sz w:val="24"/>
                <w:szCs w:val="24"/>
              </w:rPr>
              <w:t>选址</w:t>
            </w:r>
          </w:p>
        </w:tc>
        <w:tc>
          <w:tcPr>
            <w:tcW w:w="981" w:type="pct"/>
            <w:vAlign w:val="center"/>
          </w:tcPr>
          <w:p w14:paraId="5825E574" w14:textId="77777777" w:rsidR="000E76B9" w:rsidRDefault="00A86600">
            <w:pPr>
              <w:snapToGrid w:val="0"/>
              <w:spacing w:line="260" w:lineRule="exact"/>
              <w:jc w:val="left"/>
              <w:rPr>
                <w:rFonts w:eastAsia="仿宋"/>
                <w:sz w:val="24"/>
                <w:szCs w:val="24"/>
              </w:rPr>
            </w:pPr>
            <w:r>
              <w:rPr>
                <w:rFonts w:eastAsia="仿宋"/>
                <w:sz w:val="24"/>
                <w:szCs w:val="24"/>
              </w:rPr>
              <w:t xml:space="preserve">4.1.1 </w:t>
            </w:r>
            <w:r>
              <w:rPr>
                <w:rFonts w:eastAsia="仿宋"/>
                <w:sz w:val="24"/>
                <w:szCs w:val="24"/>
              </w:rPr>
              <w:t>动物无害化区域性集中收集场所及动物无害化处理场所（以下简称</w:t>
            </w:r>
            <w:r>
              <w:rPr>
                <w:rFonts w:eastAsia="仿宋"/>
                <w:sz w:val="24"/>
                <w:szCs w:val="24"/>
              </w:rPr>
              <w:t>“</w:t>
            </w:r>
            <w:r>
              <w:rPr>
                <w:rFonts w:eastAsia="仿宋"/>
                <w:sz w:val="24"/>
                <w:szCs w:val="24"/>
              </w:rPr>
              <w:t>无害化收集和集中处理场所</w:t>
            </w:r>
            <w:r>
              <w:rPr>
                <w:rFonts w:eastAsia="仿宋"/>
                <w:sz w:val="24"/>
                <w:szCs w:val="24"/>
              </w:rPr>
              <w:t>”</w:t>
            </w:r>
            <w:r>
              <w:rPr>
                <w:rFonts w:eastAsia="仿宋"/>
                <w:sz w:val="24"/>
                <w:szCs w:val="24"/>
              </w:rPr>
              <w:t>）的选址和布局，应符合本市农业布局规划、土地利用总体规划、城乡一体化发展规划和环境保护规划要求，以及农业农村部的相关规定。</w:t>
            </w:r>
          </w:p>
          <w:p w14:paraId="40E07CB7" w14:textId="77777777" w:rsidR="000E76B9" w:rsidRDefault="00A86600">
            <w:pPr>
              <w:snapToGrid w:val="0"/>
              <w:spacing w:line="260" w:lineRule="exact"/>
              <w:jc w:val="left"/>
              <w:rPr>
                <w:rFonts w:eastAsia="仿宋"/>
                <w:sz w:val="24"/>
                <w:szCs w:val="24"/>
              </w:rPr>
            </w:pPr>
            <w:r>
              <w:rPr>
                <w:rFonts w:eastAsia="仿宋"/>
                <w:sz w:val="24"/>
                <w:szCs w:val="24"/>
              </w:rPr>
              <w:t xml:space="preserve">4.1.3 </w:t>
            </w:r>
            <w:r>
              <w:rPr>
                <w:rFonts w:eastAsia="仿宋"/>
                <w:sz w:val="24"/>
                <w:szCs w:val="24"/>
              </w:rPr>
              <w:t>无害化收集和集中处理场所应选址于集中式居民生活区等环境敏感区主导风向或最大风频下风向。</w:t>
            </w:r>
          </w:p>
          <w:p w14:paraId="7F1D4FB2" w14:textId="77777777" w:rsidR="000E76B9" w:rsidRDefault="00A86600">
            <w:pPr>
              <w:snapToGrid w:val="0"/>
              <w:spacing w:line="260" w:lineRule="exact"/>
              <w:jc w:val="left"/>
              <w:rPr>
                <w:rFonts w:eastAsia="仿宋"/>
                <w:sz w:val="24"/>
                <w:szCs w:val="24"/>
              </w:rPr>
            </w:pPr>
            <w:r>
              <w:rPr>
                <w:rFonts w:eastAsia="仿宋"/>
                <w:sz w:val="24"/>
                <w:szCs w:val="24"/>
              </w:rPr>
              <w:t xml:space="preserve">4.1.4 </w:t>
            </w:r>
            <w:r>
              <w:rPr>
                <w:rFonts w:eastAsia="仿宋"/>
                <w:sz w:val="24"/>
                <w:szCs w:val="24"/>
              </w:rPr>
              <w:t>无害化收集和集中处理场所应与动物饲养场、动物隔离场所、动物屠宰加工场所、动物诊疗场所、居民生活区、饮用水源地、学校、医院等公共场所之间保持必要的距离，具体距离要求应结合</w:t>
            </w:r>
            <w:r>
              <w:rPr>
                <w:rFonts w:eastAsia="仿宋"/>
                <w:sz w:val="24"/>
                <w:szCs w:val="24"/>
              </w:rPr>
              <w:lastRenderedPageBreak/>
              <w:t>环境影响评价文件要求执行。</w:t>
            </w:r>
          </w:p>
        </w:tc>
        <w:tc>
          <w:tcPr>
            <w:tcW w:w="859" w:type="pct"/>
            <w:vAlign w:val="center"/>
          </w:tcPr>
          <w:p w14:paraId="228749FD"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6.3.3.1.1 </w:t>
            </w:r>
            <w:r>
              <w:rPr>
                <w:rFonts w:eastAsia="仿宋"/>
                <w:sz w:val="24"/>
                <w:szCs w:val="24"/>
              </w:rPr>
              <w:t>畜禽养殖场的化尸窖结合本场地形特点，宜建在下风向。</w:t>
            </w:r>
          </w:p>
          <w:p w14:paraId="3B2E3F29" w14:textId="77777777" w:rsidR="000E76B9" w:rsidRDefault="00A86600">
            <w:pPr>
              <w:snapToGrid w:val="0"/>
              <w:spacing w:line="260" w:lineRule="exact"/>
              <w:jc w:val="left"/>
              <w:rPr>
                <w:rFonts w:eastAsia="仿宋"/>
                <w:sz w:val="24"/>
                <w:szCs w:val="24"/>
              </w:rPr>
            </w:pPr>
            <w:r>
              <w:rPr>
                <w:rFonts w:eastAsia="仿宋"/>
                <w:sz w:val="24"/>
                <w:szCs w:val="24"/>
              </w:rPr>
              <w:t xml:space="preserve">6.3.3.1.2 </w:t>
            </w:r>
            <w:r>
              <w:rPr>
                <w:rFonts w:eastAsia="仿宋"/>
                <w:sz w:val="24"/>
                <w:szCs w:val="24"/>
              </w:rPr>
              <w:t>乡镇、村的化尸窖选址选择地势较高，处于下风向的地点。远离动物饲养厂（饲养小区）、动物屠宰加工场所、动物隔离场所、动物诊疗场所、动物和动物产品集贸市场、泄洪区、生活饮用水源地；远离居民区、公共场所，以及主要河流、公路、铁路等主要交通干线。</w:t>
            </w:r>
          </w:p>
        </w:tc>
        <w:tc>
          <w:tcPr>
            <w:tcW w:w="489" w:type="pct"/>
            <w:vAlign w:val="center"/>
          </w:tcPr>
          <w:p w14:paraId="7839CFF9" w14:textId="77777777" w:rsidR="000E76B9" w:rsidRDefault="00A86600">
            <w:pPr>
              <w:snapToGrid w:val="0"/>
              <w:spacing w:line="260" w:lineRule="exact"/>
              <w:jc w:val="left"/>
              <w:rPr>
                <w:rFonts w:eastAsia="仿宋"/>
                <w:sz w:val="24"/>
                <w:szCs w:val="24"/>
              </w:rPr>
            </w:pPr>
            <w:r>
              <w:rPr>
                <w:rFonts w:eastAsia="仿宋"/>
                <w:sz w:val="24"/>
                <w:szCs w:val="24"/>
              </w:rPr>
              <w:t xml:space="preserve">5.1 </w:t>
            </w:r>
            <w:r>
              <w:rPr>
                <w:rFonts w:eastAsia="仿宋"/>
                <w:sz w:val="24"/>
                <w:szCs w:val="24"/>
              </w:rPr>
              <w:t>符合《动物防疫条件审查办法》的规定。</w:t>
            </w:r>
          </w:p>
          <w:p w14:paraId="5CEC799E" w14:textId="77777777" w:rsidR="000E76B9" w:rsidRDefault="00A86600">
            <w:pPr>
              <w:snapToGrid w:val="0"/>
              <w:spacing w:line="260" w:lineRule="exact"/>
              <w:jc w:val="left"/>
              <w:rPr>
                <w:rFonts w:eastAsia="仿宋"/>
                <w:sz w:val="24"/>
                <w:szCs w:val="24"/>
              </w:rPr>
            </w:pPr>
            <w:r>
              <w:rPr>
                <w:rFonts w:eastAsia="仿宋"/>
                <w:sz w:val="24"/>
                <w:szCs w:val="24"/>
              </w:rPr>
              <w:t xml:space="preserve">5.2 </w:t>
            </w:r>
            <w:r>
              <w:rPr>
                <w:rFonts w:eastAsia="仿宋"/>
                <w:sz w:val="24"/>
                <w:szCs w:val="24"/>
              </w:rPr>
              <w:t>符合环保和城镇发展规划要求。</w:t>
            </w:r>
          </w:p>
          <w:p w14:paraId="77028D78" w14:textId="77777777" w:rsidR="000E76B9" w:rsidRDefault="00A86600">
            <w:pPr>
              <w:snapToGrid w:val="0"/>
              <w:spacing w:line="260" w:lineRule="exact"/>
              <w:jc w:val="left"/>
              <w:rPr>
                <w:rFonts w:eastAsia="仿宋"/>
                <w:sz w:val="24"/>
                <w:szCs w:val="24"/>
              </w:rPr>
            </w:pPr>
            <w:r>
              <w:rPr>
                <w:rFonts w:eastAsia="仿宋"/>
                <w:sz w:val="24"/>
                <w:szCs w:val="24"/>
              </w:rPr>
              <w:t xml:space="preserve">5.3 </w:t>
            </w:r>
            <w:r>
              <w:rPr>
                <w:rFonts w:eastAsia="仿宋"/>
                <w:sz w:val="24"/>
                <w:szCs w:val="24"/>
              </w:rPr>
              <w:t>城镇居民区主风向下风侧，地势平坦并应避开洪水、滑坡、泥石流威胁。</w:t>
            </w:r>
          </w:p>
        </w:tc>
        <w:tc>
          <w:tcPr>
            <w:tcW w:w="572" w:type="pct"/>
            <w:vAlign w:val="center"/>
          </w:tcPr>
          <w:p w14:paraId="37FA2416"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08" w:type="pct"/>
            <w:vAlign w:val="center"/>
          </w:tcPr>
          <w:p w14:paraId="124744A0" w14:textId="77777777" w:rsidR="000E76B9" w:rsidRDefault="00A86600">
            <w:pPr>
              <w:snapToGrid w:val="0"/>
              <w:spacing w:line="260" w:lineRule="exact"/>
              <w:jc w:val="left"/>
              <w:rPr>
                <w:rFonts w:eastAsia="仿宋"/>
                <w:sz w:val="24"/>
                <w:szCs w:val="24"/>
              </w:rPr>
            </w:pPr>
            <w:r>
              <w:rPr>
                <w:rFonts w:eastAsia="仿宋"/>
                <w:sz w:val="24"/>
                <w:szCs w:val="24"/>
              </w:rPr>
              <w:t xml:space="preserve">4.4.2.1 </w:t>
            </w:r>
            <w:r>
              <w:rPr>
                <w:rFonts w:eastAsia="仿宋"/>
                <w:sz w:val="24"/>
                <w:szCs w:val="24"/>
              </w:rPr>
              <w:t>应选择干燥、地势低洼处，并处于下风向的地点。</w:t>
            </w:r>
          </w:p>
          <w:p w14:paraId="53205F6D" w14:textId="77777777" w:rsidR="000E76B9" w:rsidRDefault="00A86600">
            <w:pPr>
              <w:snapToGrid w:val="0"/>
              <w:spacing w:line="260" w:lineRule="exact"/>
              <w:jc w:val="left"/>
              <w:rPr>
                <w:rFonts w:eastAsia="仿宋"/>
                <w:sz w:val="24"/>
                <w:szCs w:val="24"/>
              </w:rPr>
            </w:pPr>
            <w:r>
              <w:rPr>
                <w:rFonts w:eastAsia="仿宋"/>
                <w:sz w:val="24"/>
                <w:szCs w:val="24"/>
              </w:rPr>
              <w:t xml:space="preserve">4.4.2.2 </w:t>
            </w:r>
            <w:r>
              <w:rPr>
                <w:rFonts w:eastAsia="仿宋"/>
                <w:sz w:val="24"/>
                <w:szCs w:val="24"/>
              </w:rPr>
              <w:t>应远离学校、公共场所、居民住宅区、村庄、动物饲养和屠宰场所、饮用水源地、河流、公路主干道等地区。</w:t>
            </w:r>
          </w:p>
        </w:tc>
        <w:tc>
          <w:tcPr>
            <w:tcW w:w="630" w:type="pct"/>
            <w:vAlign w:val="center"/>
          </w:tcPr>
          <w:p w14:paraId="1BF9C65F"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24" w:type="pct"/>
            <w:vAlign w:val="center"/>
          </w:tcPr>
          <w:p w14:paraId="583BE1F5" w14:textId="77777777" w:rsidR="000E76B9" w:rsidRDefault="00A86600">
            <w:pPr>
              <w:snapToGrid w:val="0"/>
              <w:spacing w:line="260" w:lineRule="exact"/>
              <w:jc w:val="left"/>
              <w:rPr>
                <w:rFonts w:eastAsia="仿宋"/>
                <w:sz w:val="24"/>
                <w:szCs w:val="24"/>
              </w:rPr>
            </w:pPr>
            <w:r>
              <w:rPr>
                <w:rFonts w:eastAsia="仿宋"/>
                <w:sz w:val="24"/>
                <w:szCs w:val="24"/>
              </w:rPr>
              <w:t>/</w:t>
            </w:r>
          </w:p>
        </w:tc>
      </w:tr>
      <w:tr w:rsidR="000E76B9" w14:paraId="27C1EBEF" w14:textId="77777777">
        <w:trPr>
          <w:trHeight w:val="453"/>
        </w:trPr>
        <w:tc>
          <w:tcPr>
            <w:tcW w:w="233" w:type="pct"/>
            <w:tcBorders>
              <w:top w:val="single" w:sz="2" w:space="0" w:color="000000"/>
              <w:left w:val="single" w:sz="2" w:space="0" w:color="000000"/>
              <w:bottom w:val="single" w:sz="2" w:space="0" w:color="000000"/>
              <w:right w:val="single" w:sz="2" w:space="0" w:color="000000"/>
            </w:tcBorders>
            <w:vAlign w:val="center"/>
          </w:tcPr>
          <w:p w14:paraId="35108DB9" w14:textId="77777777" w:rsidR="000E76B9" w:rsidRDefault="00A86600">
            <w:pPr>
              <w:snapToGrid w:val="0"/>
              <w:spacing w:line="260" w:lineRule="exact"/>
              <w:jc w:val="left"/>
              <w:rPr>
                <w:rFonts w:eastAsia="仿宋"/>
                <w:sz w:val="24"/>
                <w:szCs w:val="24"/>
              </w:rPr>
            </w:pPr>
            <w:r>
              <w:rPr>
                <w:rFonts w:eastAsia="仿宋"/>
                <w:sz w:val="24"/>
                <w:szCs w:val="24"/>
              </w:rPr>
              <w:t>布局</w:t>
            </w:r>
          </w:p>
        </w:tc>
        <w:tc>
          <w:tcPr>
            <w:tcW w:w="981" w:type="pct"/>
            <w:tcBorders>
              <w:top w:val="single" w:sz="2" w:space="0" w:color="000000"/>
              <w:left w:val="single" w:sz="2" w:space="0" w:color="000000"/>
              <w:bottom w:val="single" w:sz="2" w:space="0" w:color="000000"/>
              <w:right w:val="single" w:sz="2" w:space="0" w:color="000000"/>
            </w:tcBorders>
            <w:vAlign w:val="center"/>
          </w:tcPr>
          <w:p w14:paraId="5719D449" w14:textId="77777777" w:rsidR="000E76B9" w:rsidRDefault="00A86600">
            <w:pPr>
              <w:snapToGrid w:val="0"/>
              <w:spacing w:line="260" w:lineRule="exact"/>
              <w:jc w:val="left"/>
              <w:rPr>
                <w:rFonts w:eastAsia="仿宋"/>
                <w:sz w:val="24"/>
                <w:szCs w:val="24"/>
              </w:rPr>
            </w:pPr>
            <w:r>
              <w:rPr>
                <w:rFonts w:eastAsia="仿宋"/>
                <w:sz w:val="24"/>
                <w:szCs w:val="24"/>
              </w:rPr>
              <w:t xml:space="preserve">4.1.6 </w:t>
            </w:r>
            <w:r>
              <w:rPr>
                <w:rFonts w:eastAsia="仿宋"/>
                <w:sz w:val="24"/>
                <w:szCs w:val="24"/>
              </w:rPr>
              <w:t>动物无害化收集场所厂区周围应设置高度不低于</w:t>
            </w:r>
            <w:r>
              <w:rPr>
                <w:rFonts w:eastAsia="仿宋"/>
                <w:sz w:val="24"/>
                <w:szCs w:val="24"/>
              </w:rPr>
              <w:t>2m</w:t>
            </w:r>
            <w:r>
              <w:rPr>
                <w:rFonts w:eastAsia="仿宋"/>
                <w:sz w:val="24"/>
                <w:szCs w:val="24"/>
              </w:rPr>
              <w:t>的实体围墙或隔离栏，墙外宜设绿化缓冲隔离带。</w:t>
            </w:r>
          </w:p>
        </w:tc>
        <w:tc>
          <w:tcPr>
            <w:tcW w:w="859" w:type="pct"/>
            <w:tcBorders>
              <w:top w:val="single" w:sz="2" w:space="0" w:color="000000"/>
              <w:left w:val="single" w:sz="2" w:space="0" w:color="000000"/>
              <w:bottom w:val="single" w:sz="2" w:space="0" w:color="000000"/>
              <w:right w:val="single" w:sz="2" w:space="0" w:color="000000"/>
            </w:tcBorders>
            <w:vAlign w:val="center"/>
          </w:tcPr>
          <w:p w14:paraId="14F1EBCF"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489" w:type="pct"/>
            <w:tcBorders>
              <w:top w:val="single" w:sz="2" w:space="0" w:color="000000"/>
              <w:left w:val="single" w:sz="2" w:space="0" w:color="000000"/>
              <w:bottom w:val="single" w:sz="2" w:space="0" w:color="000000"/>
              <w:right w:val="single" w:sz="2" w:space="0" w:color="000000"/>
            </w:tcBorders>
            <w:vAlign w:val="center"/>
          </w:tcPr>
          <w:p w14:paraId="1FF01E45" w14:textId="77777777" w:rsidR="000E76B9" w:rsidRDefault="00A86600">
            <w:pPr>
              <w:snapToGrid w:val="0"/>
              <w:spacing w:line="260" w:lineRule="exact"/>
              <w:jc w:val="left"/>
              <w:rPr>
                <w:rFonts w:eastAsia="仿宋"/>
                <w:sz w:val="24"/>
                <w:szCs w:val="24"/>
              </w:rPr>
            </w:pPr>
            <w:r>
              <w:rPr>
                <w:rFonts w:eastAsia="仿宋"/>
                <w:sz w:val="24"/>
                <w:szCs w:val="24"/>
              </w:rPr>
              <w:t xml:space="preserve">6.3 </w:t>
            </w:r>
            <w:r>
              <w:rPr>
                <w:rFonts w:eastAsia="仿宋"/>
                <w:sz w:val="24"/>
                <w:szCs w:val="24"/>
              </w:rPr>
              <w:t>厂（点）区周围设有高度不低于</w:t>
            </w:r>
            <w:r>
              <w:rPr>
                <w:rFonts w:eastAsia="仿宋"/>
                <w:sz w:val="24"/>
                <w:szCs w:val="24"/>
              </w:rPr>
              <w:t>2m</w:t>
            </w:r>
            <w:r>
              <w:rPr>
                <w:rFonts w:eastAsia="仿宋"/>
                <w:sz w:val="24"/>
                <w:szCs w:val="24"/>
              </w:rPr>
              <w:t>的实体围墙，墙外设有绿化隔离带，隔离带与围墙距离不低于</w:t>
            </w:r>
            <w:r>
              <w:rPr>
                <w:rFonts w:eastAsia="仿宋"/>
                <w:sz w:val="24"/>
                <w:szCs w:val="24"/>
              </w:rPr>
              <w:t>20m</w:t>
            </w:r>
            <w:r>
              <w:rPr>
                <w:rFonts w:eastAsia="仿宋"/>
                <w:sz w:val="24"/>
                <w:szCs w:val="24"/>
              </w:rPr>
              <w:t>。</w:t>
            </w:r>
          </w:p>
        </w:tc>
        <w:tc>
          <w:tcPr>
            <w:tcW w:w="572" w:type="pct"/>
            <w:tcBorders>
              <w:top w:val="single" w:sz="2" w:space="0" w:color="000000"/>
              <w:left w:val="single" w:sz="2" w:space="0" w:color="000000"/>
              <w:bottom w:val="single" w:sz="2" w:space="0" w:color="000000"/>
              <w:right w:val="single" w:sz="2" w:space="0" w:color="000000"/>
            </w:tcBorders>
            <w:vAlign w:val="center"/>
          </w:tcPr>
          <w:p w14:paraId="59C60E23"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08" w:type="pct"/>
            <w:tcBorders>
              <w:top w:val="single" w:sz="2" w:space="0" w:color="000000"/>
              <w:left w:val="single" w:sz="2" w:space="0" w:color="000000"/>
              <w:bottom w:val="single" w:sz="2" w:space="0" w:color="000000"/>
              <w:right w:val="single" w:sz="2" w:space="0" w:color="000000"/>
            </w:tcBorders>
            <w:vAlign w:val="center"/>
          </w:tcPr>
          <w:p w14:paraId="1E194316" w14:textId="77777777" w:rsidR="000E76B9" w:rsidRDefault="000E76B9">
            <w:pPr>
              <w:snapToGrid w:val="0"/>
              <w:spacing w:line="260" w:lineRule="exact"/>
              <w:jc w:val="left"/>
              <w:rPr>
                <w:rFonts w:eastAsia="仿宋"/>
                <w:sz w:val="24"/>
                <w:szCs w:val="24"/>
              </w:rPr>
            </w:pPr>
          </w:p>
        </w:tc>
        <w:tc>
          <w:tcPr>
            <w:tcW w:w="630" w:type="pct"/>
            <w:tcBorders>
              <w:top w:val="single" w:sz="2" w:space="0" w:color="000000"/>
              <w:left w:val="single" w:sz="2" w:space="0" w:color="000000"/>
              <w:bottom w:val="single" w:sz="2" w:space="0" w:color="000000"/>
              <w:right w:val="single" w:sz="2" w:space="0" w:color="000000"/>
            </w:tcBorders>
            <w:vAlign w:val="center"/>
          </w:tcPr>
          <w:p w14:paraId="4A2F6BD2"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24" w:type="pct"/>
            <w:tcBorders>
              <w:top w:val="single" w:sz="2" w:space="0" w:color="000000"/>
              <w:left w:val="single" w:sz="2" w:space="0" w:color="000000"/>
              <w:bottom w:val="single" w:sz="2" w:space="0" w:color="000000"/>
              <w:right w:val="single" w:sz="2" w:space="0" w:color="000000"/>
            </w:tcBorders>
            <w:vAlign w:val="center"/>
          </w:tcPr>
          <w:p w14:paraId="18484669" w14:textId="77777777" w:rsidR="000E76B9" w:rsidRDefault="000E76B9">
            <w:pPr>
              <w:snapToGrid w:val="0"/>
              <w:spacing w:line="260" w:lineRule="exact"/>
              <w:jc w:val="left"/>
              <w:rPr>
                <w:rFonts w:eastAsia="仿宋"/>
                <w:sz w:val="24"/>
                <w:szCs w:val="24"/>
              </w:rPr>
            </w:pPr>
          </w:p>
        </w:tc>
      </w:tr>
      <w:tr w:rsidR="000E76B9" w14:paraId="1BBCD252" w14:textId="77777777">
        <w:trPr>
          <w:trHeight w:val="453"/>
        </w:trPr>
        <w:tc>
          <w:tcPr>
            <w:tcW w:w="233" w:type="pct"/>
            <w:tcBorders>
              <w:top w:val="single" w:sz="2" w:space="0" w:color="000000"/>
              <w:left w:val="single" w:sz="2" w:space="0" w:color="000000"/>
              <w:bottom w:val="single" w:sz="2" w:space="0" w:color="000000"/>
              <w:right w:val="single" w:sz="2" w:space="0" w:color="000000"/>
            </w:tcBorders>
            <w:vAlign w:val="center"/>
          </w:tcPr>
          <w:p w14:paraId="5584F5BB" w14:textId="77777777" w:rsidR="000E76B9" w:rsidRDefault="00A86600">
            <w:pPr>
              <w:snapToGrid w:val="0"/>
              <w:spacing w:line="260" w:lineRule="exact"/>
              <w:jc w:val="left"/>
              <w:rPr>
                <w:rFonts w:eastAsia="仿宋"/>
                <w:sz w:val="24"/>
                <w:szCs w:val="24"/>
              </w:rPr>
            </w:pPr>
            <w:r>
              <w:rPr>
                <w:rFonts w:eastAsia="仿宋"/>
                <w:sz w:val="24"/>
                <w:szCs w:val="24"/>
              </w:rPr>
              <w:t>收集</w:t>
            </w:r>
          </w:p>
        </w:tc>
        <w:tc>
          <w:tcPr>
            <w:tcW w:w="981" w:type="pct"/>
            <w:tcBorders>
              <w:top w:val="single" w:sz="2" w:space="0" w:color="000000"/>
              <w:left w:val="single" w:sz="2" w:space="0" w:color="000000"/>
              <w:bottom w:val="single" w:sz="2" w:space="0" w:color="000000"/>
              <w:right w:val="single" w:sz="2" w:space="0" w:color="000000"/>
            </w:tcBorders>
            <w:vAlign w:val="center"/>
          </w:tcPr>
          <w:p w14:paraId="68D3F2D4" w14:textId="77777777" w:rsidR="000E76B9" w:rsidRDefault="00A86600">
            <w:pPr>
              <w:snapToGrid w:val="0"/>
              <w:spacing w:line="260" w:lineRule="exact"/>
              <w:jc w:val="left"/>
              <w:rPr>
                <w:rFonts w:eastAsia="仿宋"/>
                <w:sz w:val="24"/>
                <w:szCs w:val="24"/>
              </w:rPr>
            </w:pPr>
            <w:r>
              <w:rPr>
                <w:rFonts w:eastAsia="仿宋"/>
                <w:sz w:val="24"/>
                <w:szCs w:val="24"/>
              </w:rPr>
              <w:t xml:space="preserve">4.2.2 </w:t>
            </w:r>
            <w:r>
              <w:rPr>
                <w:rFonts w:eastAsia="仿宋"/>
                <w:sz w:val="24"/>
                <w:szCs w:val="24"/>
              </w:rPr>
              <w:t>物料容器应符合密闭、防水、防渗、防破损、耐腐蚀等要求。</w:t>
            </w:r>
          </w:p>
        </w:tc>
        <w:tc>
          <w:tcPr>
            <w:tcW w:w="859" w:type="pct"/>
            <w:tcBorders>
              <w:top w:val="single" w:sz="2" w:space="0" w:color="000000"/>
              <w:left w:val="single" w:sz="2" w:space="0" w:color="000000"/>
              <w:bottom w:val="single" w:sz="2" w:space="0" w:color="000000"/>
              <w:right w:val="single" w:sz="2" w:space="0" w:color="000000"/>
            </w:tcBorders>
            <w:vAlign w:val="center"/>
          </w:tcPr>
          <w:p w14:paraId="26179E70" w14:textId="77777777" w:rsidR="000E76B9" w:rsidRDefault="00A86600">
            <w:pPr>
              <w:snapToGrid w:val="0"/>
              <w:spacing w:line="260" w:lineRule="exact"/>
              <w:jc w:val="left"/>
              <w:rPr>
                <w:rFonts w:eastAsia="仿宋"/>
                <w:sz w:val="24"/>
                <w:szCs w:val="24"/>
              </w:rPr>
            </w:pPr>
            <w:r>
              <w:rPr>
                <w:rFonts w:eastAsia="仿宋"/>
                <w:sz w:val="24"/>
                <w:szCs w:val="24"/>
              </w:rPr>
              <w:t xml:space="preserve">7.1.1 </w:t>
            </w:r>
            <w:r>
              <w:rPr>
                <w:rFonts w:eastAsia="仿宋"/>
                <w:sz w:val="24"/>
                <w:szCs w:val="24"/>
              </w:rPr>
              <w:t>包装材料应符合密闭、防水、防渗、防破损、耐腐蚀等要求。</w:t>
            </w:r>
          </w:p>
        </w:tc>
        <w:tc>
          <w:tcPr>
            <w:tcW w:w="489" w:type="pct"/>
            <w:tcBorders>
              <w:top w:val="single" w:sz="2" w:space="0" w:color="000000"/>
              <w:left w:val="single" w:sz="2" w:space="0" w:color="000000"/>
              <w:bottom w:val="single" w:sz="2" w:space="0" w:color="000000"/>
              <w:right w:val="single" w:sz="2" w:space="0" w:color="000000"/>
            </w:tcBorders>
            <w:vAlign w:val="center"/>
          </w:tcPr>
          <w:p w14:paraId="7325E5FB"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572" w:type="pct"/>
            <w:tcBorders>
              <w:top w:val="single" w:sz="2" w:space="0" w:color="000000"/>
              <w:left w:val="single" w:sz="2" w:space="0" w:color="000000"/>
              <w:bottom w:val="single" w:sz="2" w:space="0" w:color="000000"/>
              <w:right w:val="single" w:sz="2" w:space="0" w:color="000000"/>
            </w:tcBorders>
            <w:vAlign w:val="center"/>
          </w:tcPr>
          <w:p w14:paraId="0FF4D056"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08" w:type="pct"/>
            <w:tcBorders>
              <w:top w:val="single" w:sz="2" w:space="0" w:color="000000"/>
              <w:left w:val="single" w:sz="2" w:space="0" w:color="000000"/>
              <w:bottom w:val="single" w:sz="2" w:space="0" w:color="000000"/>
              <w:right w:val="single" w:sz="2" w:space="0" w:color="000000"/>
            </w:tcBorders>
            <w:vAlign w:val="center"/>
          </w:tcPr>
          <w:p w14:paraId="3DE93A59" w14:textId="77777777" w:rsidR="000E76B9" w:rsidRDefault="00A86600">
            <w:pPr>
              <w:snapToGrid w:val="0"/>
              <w:spacing w:line="260" w:lineRule="exact"/>
              <w:jc w:val="left"/>
              <w:rPr>
                <w:rFonts w:eastAsia="仿宋"/>
                <w:sz w:val="24"/>
                <w:szCs w:val="24"/>
              </w:rPr>
            </w:pPr>
            <w:r>
              <w:rPr>
                <w:rFonts w:eastAsia="仿宋"/>
                <w:sz w:val="24"/>
                <w:szCs w:val="24"/>
              </w:rPr>
              <w:t xml:space="preserve">6.1.1 </w:t>
            </w:r>
            <w:r>
              <w:rPr>
                <w:rFonts w:eastAsia="仿宋"/>
                <w:sz w:val="24"/>
                <w:szCs w:val="24"/>
              </w:rPr>
              <w:t>分装材料应符合密闭、防水、防渗、防破损、耐腐蚀等要求。</w:t>
            </w:r>
          </w:p>
        </w:tc>
        <w:tc>
          <w:tcPr>
            <w:tcW w:w="630" w:type="pct"/>
            <w:tcBorders>
              <w:top w:val="single" w:sz="2" w:space="0" w:color="000000"/>
              <w:left w:val="single" w:sz="2" w:space="0" w:color="000000"/>
              <w:bottom w:val="single" w:sz="2" w:space="0" w:color="000000"/>
              <w:right w:val="single" w:sz="2" w:space="0" w:color="000000"/>
            </w:tcBorders>
            <w:vAlign w:val="center"/>
          </w:tcPr>
          <w:p w14:paraId="377050A2"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24" w:type="pct"/>
            <w:tcBorders>
              <w:top w:val="single" w:sz="2" w:space="0" w:color="000000"/>
              <w:left w:val="single" w:sz="2" w:space="0" w:color="000000"/>
              <w:bottom w:val="single" w:sz="2" w:space="0" w:color="000000"/>
              <w:right w:val="single" w:sz="2" w:space="0" w:color="000000"/>
            </w:tcBorders>
            <w:vAlign w:val="center"/>
          </w:tcPr>
          <w:p w14:paraId="6AD22AB2" w14:textId="77777777" w:rsidR="000E76B9" w:rsidRDefault="00A86600">
            <w:pPr>
              <w:snapToGrid w:val="0"/>
              <w:spacing w:line="260" w:lineRule="exact"/>
              <w:jc w:val="left"/>
              <w:rPr>
                <w:rFonts w:eastAsia="仿宋"/>
                <w:sz w:val="24"/>
                <w:szCs w:val="24"/>
              </w:rPr>
            </w:pPr>
            <w:r>
              <w:rPr>
                <w:rFonts w:eastAsia="仿宋"/>
                <w:sz w:val="24"/>
                <w:szCs w:val="24"/>
              </w:rPr>
              <w:t xml:space="preserve">5.1 </w:t>
            </w:r>
            <w:r>
              <w:rPr>
                <w:rFonts w:eastAsia="仿宋"/>
                <w:sz w:val="24"/>
                <w:szCs w:val="24"/>
              </w:rPr>
              <w:t>包装材料应符合密闭、防水、防渗、防破损、耐腐蚀等要求。</w:t>
            </w:r>
          </w:p>
        </w:tc>
      </w:tr>
      <w:tr w:rsidR="000E76B9" w14:paraId="16DD3161" w14:textId="77777777">
        <w:trPr>
          <w:trHeight w:val="458"/>
        </w:trPr>
        <w:tc>
          <w:tcPr>
            <w:tcW w:w="233" w:type="pct"/>
            <w:tcBorders>
              <w:top w:val="single" w:sz="2" w:space="0" w:color="000000"/>
              <w:left w:val="single" w:sz="2" w:space="0" w:color="000000"/>
              <w:bottom w:val="single" w:sz="2" w:space="0" w:color="000000"/>
              <w:right w:val="single" w:sz="2" w:space="0" w:color="000000"/>
            </w:tcBorders>
            <w:vAlign w:val="center"/>
          </w:tcPr>
          <w:p w14:paraId="35DD5DBF" w14:textId="77777777" w:rsidR="000E76B9" w:rsidRDefault="00A86600">
            <w:pPr>
              <w:snapToGrid w:val="0"/>
              <w:spacing w:line="260" w:lineRule="exact"/>
              <w:jc w:val="left"/>
              <w:rPr>
                <w:rFonts w:eastAsia="仿宋"/>
                <w:sz w:val="24"/>
                <w:szCs w:val="24"/>
              </w:rPr>
            </w:pPr>
            <w:r>
              <w:rPr>
                <w:rFonts w:eastAsia="仿宋"/>
                <w:sz w:val="24"/>
                <w:szCs w:val="24"/>
              </w:rPr>
              <w:t>运输</w:t>
            </w:r>
          </w:p>
        </w:tc>
        <w:tc>
          <w:tcPr>
            <w:tcW w:w="981" w:type="pct"/>
            <w:tcBorders>
              <w:top w:val="single" w:sz="2" w:space="0" w:color="000000"/>
              <w:left w:val="single" w:sz="2" w:space="0" w:color="000000"/>
              <w:bottom w:val="single" w:sz="2" w:space="0" w:color="000000"/>
              <w:right w:val="single" w:sz="2" w:space="0" w:color="000000"/>
            </w:tcBorders>
            <w:vAlign w:val="center"/>
          </w:tcPr>
          <w:p w14:paraId="08622695" w14:textId="77777777" w:rsidR="000E76B9" w:rsidRDefault="00A86600">
            <w:pPr>
              <w:snapToGrid w:val="0"/>
              <w:spacing w:line="260" w:lineRule="exact"/>
              <w:jc w:val="left"/>
              <w:rPr>
                <w:rFonts w:eastAsia="仿宋"/>
                <w:sz w:val="24"/>
                <w:szCs w:val="24"/>
              </w:rPr>
            </w:pPr>
            <w:r>
              <w:rPr>
                <w:rFonts w:eastAsia="仿宋"/>
                <w:sz w:val="24"/>
                <w:szCs w:val="24"/>
              </w:rPr>
              <w:t xml:space="preserve">4.3.1 </w:t>
            </w:r>
            <w:r>
              <w:rPr>
                <w:rFonts w:eastAsia="仿宋"/>
                <w:sz w:val="24"/>
                <w:szCs w:val="24"/>
              </w:rPr>
              <w:t>物料专用运输车辆应当符合以下要求：</w:t>
            </w:r>
          </w:p>
          <w:p w14:paraId="386ECC77"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不运输本规范涉及的物料以外的其他物品；</w:t>
            </w:r>
          </w:p>
          <w:p w14:paraId="0DA6BCC3"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车厢密闭、防水、防渗、耐腐蚀，易于清洗和消毒并防止臭气外逸；</w:t>
            </w:r>
          </w:p>
          <w:p w14:paraId="50A43BE9"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lastRenderedPageBreak/>
              <w:t>配备能够接入国家监管监控平台的车辆定位跟踪系统、车载终端；</w:t>
            </w:r>
          </w:p>
          <w:p w14:paraId="479B46E4"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配备人员防护、清洗消毒等应急防疫用品；</w:t>
            </w:r>
          </w:p>
          <w:p w14:paraId="2AFB6C3A" w14:textId="77777777" w:rsidR="000E76B9" w:rsidRDefault="00A86600">
            <w:pPr>
              <w:numPr>
                <w:ilvl w:val="0"/>
                <w:numId w:val="2"/>
              </w:numPr>
              <w:snapToGrid w:val="0"/>
              <w:spacing w:line="260" w:lineRule="exact"/>
              <w:ind w:left="0" w:firstLine="0"/>
              <w:jc w:val="left"/>
              <w:rPr>
                <w:rFonts w:eastAsia="仿宋"/>
                <w:sz w:val="24"/>
                <w:szCs w:val="24"/>
              </w:rPr>
            </w:pPr>
            <w:r>
              <w:rPr>
                <w:rFonts w:eastAsia="仿宋"/>
                <w:sz w:val="24"/>
                <w:szCs w:val="24"/>
              </w:rPr>
              <w:t>有符合动物防疫需要的其他设施设备。</w:t>
            </w:r>
          </w:p>
          <w:p w14:paraId="0A73A6EB" w14:textId="77777777" w:rsidR="000E76B9" w:rsidRDefault="00A86600">
            <w:pPr>
              <w:snapToGrid w:val="0"/>
              <w:spacing w:line="260" w:lineRule="exact"/>
              <w:jc w:val="left"/>
              <w:rPr>
                <w:rFonts w:eastAsia="仿宋"/>
                <w:sz w:val="24"/>
                <w:szCs w:val="24"/>
              </w:rPr>
            </w:pPr>
            <w:r>
              <w:rPr>
                <w:rFonts w:eastAsia="仿宋"/>
                <w:sz w:val="24"/>
                <w:szCs w:val="24"/>
              </w:rPr>
              <w:t xml:space="preserve">4.3.3 </w:t>
            </w:r>
            <w:r>
              <w:rPr>
                <w:rFonts w:eastAsia="仿宋"/>
                <w:sz w:val="24"/>
                <w:szCs w:val="24"/>
              </w:rPr>
              <w:t>应合理规划运载车辆的运输路线，避免进入人口密集区和环境敏感区域。</w:t>
            </w:r>
          </w:p>
        </w:tc>
        <w:tc>
          <w:tcPr>
            <w:tcW w:w="859" w:type="pct"/>
            <w:tcBorders>
              <w:top w:val="single" w:sz="2" w:space="0" w:color="000000"/>
              <w:left w:val="single" w:sz="2" w:space="0" w:color="000000"/>
              <w:bottom w:val="single" w:sz="2" w:space="0" w:color="000000"/>
              <w:right w:val="single" w:sz="2" w:space="0" w:color="000000"/>
            </w:tcBorders>
            <w:vAlign w:val="center"/>
          </w:tcPr>
          <w:p w14:paraId="11D7418B"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7.3.1 </w:t>
            </w:r>
            <w:r>
              <w:rPr>
                <w:rFonts w:eastAsia="仿宋"/>
                <w:sz w:val="24"/>
                <w:szCs w:val="24"/>
              </w:rPr>
              <w:t>选择专用的运输车辆或封闭厢式运载工具，车厢四壁及底部使用耐腐蚀材料，并采取防渗措施。</w:t>
            </w:r>
          </w:p>
          <w:p w14:paraId="09FA1F81" w14:textId="77777777" w:rsidR="000E76B9" w:rsidRDefault="00A86600">
            <w:pPr>
              <w:snapToGrid w:val="0"/>
              <w:spacing w:line="260" w:lineRule="exact"/>
              <w:jc w:val="left"/>
              <w:rPr>
                <w:rFonts w:eastAsia="仿宋"/>
                <w:sz w:val="24"/>
                <w:szCs w:val="24"/>
              </w:rPr>
            </w:pPr>
            <w:r>
              <w:rPr>
                <w:rFonts w:eastAsia="仿宋"/>
                <w:sz w:val="24"/>
                <w:szCs w:val="24"/>
              </w:rPr>
              <w:t xml:space="preserve">7.3.3 </w:t>
            </w:r>
            <w:r>
              <w:rPr>
                <w:rFonts w:eastAsia="仿宋"/>
                <w:sz w:val="24"/>
                <w:szCs w:val="24"/>
              </w:rPr>
              <w:t>运载车辆尽量避免进入人口密集区。</w:t>
            </w:r>
          </w:p>
        </w:tc>
        <w:tc>
          <w:tcPr>
            <w:tcW w:w="489" w:type="pct"/>
            <w:tcBorders>
              <w:top w:val="single" w:sz="2" w:space="0" w:color="000000"/>
              <w:left w:val="single" w:sz="2" w:space="0" w:color="000000"/>
              <w:bottom w:val="single" w:sz="2" w:space="0" w:color="000000"/>
              <w:right w:val="single" w:sz="2" w:space="0" w:color="000000"/>
            </w:tcBorders>
            <w:vAlign w:val="center"/>
          </w:tcPr>
          <w:p w14:paraId="5B975F91" w14:textId="77777777" w:rsidR="000E76B9" w:rsidRDefault="00A86600">
            <w:pPr>
              <w:snapToGrid w:val="0"/>
              <w:spacing w:line="260" w:lineRule="exact"/>
              <w:jc w:val="left"/>
              <w:rPr>
                <w:rFonts w:eastAsia="仿宋"/>
                <w:sz w:val="24"/>
                <w:szCs w:val="24"/>
              </w:rPr>
            </w:pPr>
            <w:r>
              <w:rPr>
                <w:rFonts w:eastAsia="仿宋"/>
                <w:sz w:val="24"/>
                <w:szCs w:val="24"/>
              </w:rPr>
              <w:t>6.8</w:t>
            </w:r>
            <w:r>
              <w:rPr>
                <w:rFonts w:eastAsia="仿宋"/>
                <w:sz w:val="24"/>
                <w:szCs w:val="24"/>
              </w:rPr>
              <w:t>、处理区内设运输动物尸体车辆专用入口、运输通道和出口，通道宽度不</w:t>
            </w:r>
            <w:r>
              <w:rPr>
                <w:rFonts w:eastAsia="仿宋"/>
                <w:sz w:val="24"/>
                <w:szCs w:val="24"/>
              </w:rPr>
              <w:lastRenderedPageBreak/>
              <w:t>小于</w:t>
            </w:r>
            <w:r>
              <w:rPr>
                <w:rFonts w:eastAsia="仿宋"/>
                <w:sz w:val="24"/>
                <w:szCs w:val="24"/>
              </w:rPr>
              <w:t>6m</w:t>
            </w:r>
            <w:r>
              <w:rPr>
                <w:rFonts w:eastAsia="仿宋"/>
                <w:sz w:val="24"/>
                <w:szCs w:val="24"/>
              </w:rPr>
              <w:t>，应不与其他道路交叉。</w:t>
            </w:r>
          </w:p>
        </w:tc>
        <w:tc>
          <w:tcPr>
            <w:tcW w:w="572" w:type="pct"/>
            <w:tcBorders>
              <w:top w:val="single" w:sz="2" w:space="0" w:color="000000"/>
              <w:left w:val="single" w:sz="2" w:space="0" w:color="000000"/>
              <w:bottom w:val="single" w:sz="2" w:space="0" w:color="000000"/>
              <w:right w:val="single" w:sz="2" w:space="0" w:color="000000"/>
            </w:tcBorders>
            <w:vAlign w:val="center"/>
          </w:tcPr>
          <w:p w14:paraId="593A375C"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5.2 </w:t>
            </w:r>
            <w:r>
              <w:rPr>
                <w:rFonts w:eastAsia="仿宋"/>
                <w:sz w:val="24"/>
                <w:szCs w:val="24"/>
              </w:rPr>
              <w:t>整车</w:t>
            </w:r>
          </w:p>
          <w:p w14:paraId="296A9DAA" w14:textId="77777777" w:rsidR="000E76B9" w:rsidRDefault="00A86600">
            <w:pPr>
              <w:snapToGrid w:val="0"/>
              <w:spacing w:line="260" w:lineRule="exact"/>
              <w:jc w:val="left"/>
              <w:rPr>
                <w:rFonts w:eastAsia="仿宋"/>
                <w:sz w:val="24"/>
                <w:szCs w:val="24"/>
              </w:rPr>
            </w:pPr>
            <w:r>
              <w:rPr>
                <w:rFonts w:eastAsia="仿宋"/>
                <w:sz w:val="24"/>
                <w:szCs w:val="24"/>
              </w:rPr>
              <w:t xml:space="preserve">5.2.6 </w:t>
            </w:r>
            <w:r>
              <w:rPr>
                <w:rFonts w:eastAsia="仿宋"/>
                <w:sz w:val="24"/>
                <w:szCs w:val="24"/>
              </w:rPr>
              <w:t>应具备可靠的密封性，不应有污液外漏现象。</w:t>
            </w:r>
          </w:p>
          <w:p w14:paraId="7A2F430B" w14:textId="77777777" w:rsidR="000E76B9" w:rsidRDefault="00A86600">
            <w:pPr>
              <w:snapToGrid w:val="0"/>
              <w:spacing w:line="260" w:lineRule="exact"/>
              <w:jc w:val="left"/>
              <w:rPr>
                <w:rFonts w:eastAsia="仿宋"/>
                <w:sz w:val="24"/>
                <w:szCs w:val="24"/>
              </w:rPr>
            </w:pPr>
            <w:r>
              <w:rPr>
                <w:rFonts w:eastAsia="仿宋"/>
                <w:sz w:val="24"/>
                <w:szCs w:val="24"/>
              </w:rPr>
              <w:t xml:space="preserve">5.3 </w:t>
            </w:r>
            <w:r>
              <w:rPr>
                <w:rFonts w:eastAsia="仿宋"/>
                <w:sz w:val="24"/>
                <w:szCs w:val="24"/>
              </w:rPr>
              <w:t>车厢</w:t>
            </w:r>
          </w:p>
          <w:p w14:paraId="022BF75C" w14:textId="77777777" w:rsidR="000E76B9" w:rsidRDefault="00A86600">
            <w:pPr>
              <w:snapToGrid w:val="0"/>
              <w:spacing w:line="260" w:lineRule="exact"/>
              <w:jc w:val="left"/>
              <w:rPr>
                <w:rFonts w:eastAsia="仿宋"/>
                <w:sz w:val="24"/>
                <w:szCs w:val="24"/>
              </w:rPr>
            </w:pPr>
            <w:r>
              <w:rPr>
                <w:rFonts w:eastAsia="仿宋"/>
                <w:sz w:val="24"/>
                <w:szCs w:val="24"/>
              </w:rPr>
              <w:t xml:space="preserve">5.3.1 </w:t>
            </w:r>
            <w:r>
              <w:rPr>
                <w:rFonts w:eastAsia="仿宋"/>
                <w:sz w:val="24"/>
                <w:szCs w:val="24"/>
              </w:rPr>
              <w:t>车厢结</w:t>
            </w:r>
            <w:r>
              <w:rPr>
                <w:rFonts w:eastAsia="仿宋"/>
                <w:sz w:val="24"/>
                <w:szCs w:val="24"/>
              </w:rPr>
              <w:lastRenderedPageBreak/>
              <w:t>构应为封闭式车厢，上端应设有装料口和装料口盖，后端应设有门，装料口和门应设置密封装置。车厢后门应有锁止机构。</w:t>
            </w:r>
          </w:p>
        </w:tc>
        <w:tc>
          <w:tcPr>
            <w:tcW w:w="608" w:type="pct"/>
            <w:tcBorders>
              <w:top w:val="single" w:sz="2" w:space="0" w:color="000000"/>
              <w:left w:val="single" w:sz="2" w:space="0" w:color="000000"/>
              <w:bottom w:val="single" w:sz="2" w:space="0" w:color="000000"/>
              <w:right w:val="single" w:sz="2" w:space="0" w:color="000000"/>
            </w:tcBorders>
            <w:vAlign w:val="center"/>
          </w:tcPr>
          <w:p w14:paraId="6BBD295C"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6.3.1 </w:t>
            </w:r>
            <w:r>
              <w:rPr>
                <w:rFonts w:eastAsia="仿宋"/>
                <w:sz w:val="24"/>
                <w:szCs w:val="24"/>
              </w:rPr>
              <w:t>宜参照</w:t>
            </w:r>
            <w:r>
              <w:rPr>
                <w:rFonts w:eastAsia="仿宋"/>
                <w:sz w:val="24"/>
                <w:szCs w:val="24"/>
              </w:rPr>
              <w:t>GB/T19217</w:t>
            </w:r>
            <w:r>
              <w:rPr>
                <w:rFonts w:eastAsia="仿宋"/>
                <w:sz w:val="24"/>
                <w:szCs w:val="24"/>
              </w:rPr>
              <w:t>规定的车辆或专用封闭厢式运载车辆。</w:t>
            </w:r>
          </w:p>
          <w:p w14:paraId="52E89D51" w14:textId="77777777" w:rsidR="000E76B9" w:rsidRDefault="00A86600">
            <w:pPr>
              <w:snapToGrid w:val="0"/>
              <w:spacing w:line="260" w:lineRule="exact"/>
              <w:jc w:val="left"/>
              <w:rPr>
                <w:rFonts w:eastAsia="仿宋"/>
                <w:sz w:val="24"/>
                <w:szCs w:val="24"/>
              </w:rPr>
            </w:pPr>
            <w:r>
              <w:rPr>
                <w:rFonts w:eastAsia="仿宋"/>
                <w:sz w:val="24"/>
                <w:szCs w:val="24"/>
              </w:rPr>
              <w:t xml:space="preserve">6.3.2 </w:t>
            </w:r>
            <w:r>
              <w:rPr>
                <w:rFonts w:eastAsia="仿宋"/>
                <w:sz w:val="24"/>
                <w:szCs w:val="24"/>
              </w:rPr>
              <w:t>专用转运车辆应标注明</w:t>
            </w:r>
            <w:r>
              <w:rPr>
                <w:rFonts w:eastAsia="仿宋"/>
                <w:sz w:val="24"/>
                <w:szCs w:val="24"/>
              </w:rPr>
              <w:lastRenderedPageBreak/>
              <w:t>显标识，并加装车载定位系统，并派驻随车人员，记录转运时间和路径等信息。</w:t>
            </w:r>
          </w:p>
          <w:p w14:paraId="40E816C0" w14:textId="77777777" w:rsidR="000E76B9" w:rsidRDefault="00A86600">
            <w:pPr>
              <w:snapToGrid w:val="0"/>
              <w:spacing w:line="260" w:lineRule="exact"/>
              <w:jc w:val="left"/>
              <w:rPr>
                <w:rFonts w:eastAsia="仿宋"/>
                <w:sz w:val="24"/>
                <w:szCs w:val="24"/>
              </w:rPr>
            </w:pPr>
            <w:r>
              <w:rPr>
                <w:rFonts w:eastAsia="仿宋"/>
                <w:sz w:val="24"/>
                <w:szCs w:val="24"/>
              </w:rPr>
              <w:t>6.3.4</w:t>
            </w:r>
            <w:r>
              <w:rPr>
                <w:rFonts w:eastAsia="仿宋"/>
                <w:sz w:val="24"/>
                <w:szCs w:val="24"/>
              </w:rPr>
              <w:t>转运车辆应避免进入人口密集区。</w:t>
            </w:r>
          </w:p>
        </w:tc>
        <w:tc>
          <w:tcPr>
            <w:tcW w:w="630" w:type="pct"/>
            <w:tcBorders>
              <w:top w:val="single" w:sz="2" w:space="0" w:color="000000"/>
              <w:left w:val="single" w:sz="2" w:space="0" w:color="000000"/>
              <w:bottom w:val="single" w:sz="2" w:space="0" w:color="000000"/>
              <w:right w:val="single" w:sz="2" w:space="0" w:color="000000"/>
            </w:tcBorders>
            <w:vAlign w:val="center"/>
          </w:tcPr>
          <w:p w14:paraId="22BD93ED" w14:textId="77777777" w:rsidR="000E76B9" w:rsidRDefault="00A86600">
            <w:pPr>
              <w:snapToGrid w:val="0"/>
              <w:spacing w:line="260" w:lineRule="exact"/>
              <w:jc w:val="left"/>
              <w:rPr>
                <w:rFonts w:eastAsia="仿宋"/>
                <w:sz w:val="24"/>
                <w:szCs w:val="24"/>
              </w:rPr>
            </w:pPr>
            <w:r>
              <w:rPr>
                <w:rFonts w:eastAsia="仿宋"/>
                <w:sz w:val="24"/>
                <w:szCs w:val="24"/>
              </w:rPr>
              <w:lastRenderedPageBreak/>
              <w:t>/</w:t>
            </w:r>
          </w:p>
        </w:tc>
        <w:tc>
          <w:tcPr>
            <w:tcW w:w="624" w:type="pct"/>
            <w:tcBorders>
              <w:top w:val="single" w:sz="2" w:space="0" w:color="000000"/>
              <w:left w:val="single" w:sz="2" w:space="0" w:color="000000"/>
              <w:bottom w:val="single" w:sz="2" w:space="0" w:color="000000"/>
              <w:right w:val="single" w:sz="2" w:space="0" w:color="000000"/>
            </w:tcBorders>
            <w:vAlign w:val="center"/>
          </w:tcPr>
          <w:p w14:paraId="5DE0AC35" w14:textId="77777777" w:rsidR="000E76B9" w:rsidRDefault="00A86600">
            <w:pPr>
              <w:snapToGrid w:val="0"/>
              <w:spacing w:line="260" w:lineRule="exact"/>
              <w:jc w:val="left"/>
              <w:rPr>
                <w:rFonts w:eastAsia="仿宋"/>
                <w:sz w:val="24"/>
                <w:szCs w:val="24"/>
              </w:rPr>
            </w:pPr>
            <w:r>
              <w:rPr>
                <w:rFonts w:eastAsia="仿宋"/>
                <w:sz w:val="24"/>
                <w:szCs w:val="24"/>
              </w:rPr>
              <w:t xml:space="preserve">5.3.1 </w:t>
            </w:r>
            <w:r>
              <w:rPr>
                <w:rFonts w:eastAsia="仿宋"/>
                <w:sz w:val="24"/>
                <w:szCs w:val="24"/>
              </w:rPr>
              <w:t>可选择符合</w:t>
            </w:r>
            <w:r>
              <w:rPr>
                <w:rFonts w:eastAsia="仿宋"/>
                <w:sz w:val="24"/>
                <w:szCs w:val="24"/>
              </w:rPr>
              <w:t>GB19217</w:t>
            </w:r>
            <w:r>
              <w:rPr>
                <w:rFonts w:eastAsia="仿宋"/>
                <w:sz w:val="24"/>
                <w:szCs w:val="24"/>
              </w:rPr>
              <w:t>条件的车辆或专用封闭厢式运载车辆。车厢四壁及底部应使用耐腐蚀材</w:t>
            </w:r>
            <w:r>
              <w:rPr>
                <w:rFonts w:eastAsia="仿宋"/>
                <w:sz w:val="24"/>
                <w:szCs w:val="24"/>
              </w:rPr>
              <w:lastRenderedPageBreak/>
              <w:t>料</w:t>
            </w:r>
            <w:r>
              <w:rPr>
                <w:rFonts w:eastAsia="仿宋"/>
                <w:sz w:val="24"/>
                <w:szCs w:val="24"/>
              </w:rPr>
              <w:t>,</w:t>
            </w:r>
            <w:r>
              <w:rPr>
                <w:rFonts w:eastAsia="仿宋"/>
                <w:sz w:val="24"/>
                <w:szCs w:val="24"/>
              </w:rPr>
              <w:t>并采取防渗措施。</w:t>
            </w:r>
          </w:p>
          <w:p w14:paraId="0F3B678A" w14:textId="77777777" w:rsidR="000E76B9" w:rsidRDefault="00A86600">
            <w:pPr>
              <w:snapToGrid w:val="0"/>
              <w:spacing w:line="260" w:lineRule="exact"/>
              <w:jc w:val="left"/>
              <w:rPr>
                <w:rFonts w:eastAsia="仿宋"/>
                <w:sz w:val="24"/>
                <w:szCs w:val="24"/>
              </w:rPr>
            </w:pPr>
            <w:r>
              <w:rPr>
                <w:rFonts w:eastAsia="仿宋"/>
                <w:sz w:val="24"/>
                <w:szCs w:val="24"/>
              </w:rPr>
              <w:t xml:space="preserve">5.3.2 </w:t>
            </w:r>
            <w:r>
              <w:rPr>
                <w:rFonts w:eastAsia="仿宋"/>
                <w:sz w:val="24"/>
                <w:szCs w:val="24"/>
              </w:rPr>
              <w:t>专用转运车辆应加施明显标识，并加装车载定位系统，记录转运时间和路径等信息。</w:t>
            </w:r>
          </w:p>
          <w:p w14:paraId="74FFDD64" w14:textId="77777777" w:rsidR="000E76B9" w:rsidRDefault="00A86600">
            <w:pPr>
              <w:snapToGrid w:val="0"/>
              <w:spacing w:line="260" w:lineRule="exact"/>
              <w:jc w:val="left"/>
              <w:rPr>
                <w:rFonts w:eastAsia="仿宋"/>
                <w:sz w:val="24"/>
                <w:szCs w:val="24"/>
              </w:rPr>
            </w:pPr>
            <w:r>
              <w:rPr>
                <w:rFonts w:eastAsia="仿宋"/>
                <w:sz w:val="24"/>
                <w:szCs w:val="24"/>
              </w:rPr>
              <w:t xml:space="preserve">5.3.4 </w:t>
            </w:r>
            <w:r>
              <w:rPr>
                <w:rFonts w:eastAsia="仿宋"/>
                <w:sz w:val="24"/>
                <w:szCs w:val="24"/>
              </w:rPr>
              <w:t>转运车辆应尽量避免进入人口密集区。</w:t>
            </w:r>
          </w:p>
        </w:tc>
      </w:tr>
      <w:tr w:rsidR="000E76B9" w14:paraId="3DE30379" w14:textId="77777777">
        <w:trPr>
          <w:trHeight w:val="458"/>
        </w:trPr>
        <w:tc>
          <w:tcPr>
            <w:tcW w:w="233" w:type="pct"/>
            <w:tcBorders>
              <w:top w:val="single" w:sz="2" w:space="0" w:color="000000"/>
              <w:left w:val="single" w:sz="2" w:space="0" w:color="000000"/>
              <w:bottom w:val="single" w:sz="2" w:space="0" w:color="000000"/>
              <w:right w:val="single" w:sz="2" w:space="0" w:color="000000"/>
            </w:tcBorders>
            <w:vAlign w:val="center"/>
          </w:tcPr>
          <w:p w14:paraId="3EBC0704" w14:textId="77777777" w:rsidR="000E76B9" w:rsidRDefault="00A86600">
            <w:pPr>
              <w:snapToGrid w:val="0"/>
              <w:spacing w:line="260" w:lineRule="exact"/>
              <w:jc w:val="left"/>
              <w:rPr>
                <w:rFonts w:eastAsia="仿宋"/>
                <w:sz w:val="24"/>
                <w:szCs w:val="24"/>
              </w:rPr>
            </w:pPr>
            <w:r>
              <w:rPr>
                <w:rFonts w:eastAsia="仿宋"/>
                <w:sz w:val="24"/>
                <w:szCs w:val="24"/>
              </w:rPr>
              <w:lastRenderedPageBreak/>
              <w:t>消毒</w:t>
            </w:r>
          </w:p>
        </w:tc>
        <w:tc>
          <w:tcPr>
            <w:tcW w:w="981" w:type="pct"/>
            <w:tcBorders>
              <w:top w:val="single" w:sz="2" w:space="0" w:color="000000"/>
              <w:left w:val="single" w:sz="2" w:space="0" w:color="000000"/>
              <w:bottom w:val="single" w:sz="2" w:space="0" w:color="000000"/>
              <w:right w:val="single" w:sz="2" w:space="0" w:color="000000"/>
            </w:tcBorders>
            <w:vAlign w:val="center"/>
          </w:tcPr>
          <w:p w14:paraId="4E6607CF" w14:textId="77777777" w:rsidR="000E76B9" w:rsidRDefault="00A86600">
            <w:pPr>
              <w:snapToGrid w:val="0"/>
              <w:spacing w:line="260" w:lineRule="exact"/>
              <w:jc w:val="left"/>
              <w:rPr>
                <w:rFonts w:eastAsia="仿宋"/>
                <w:sz w:val="24"/>
                <w:szCs w:val="24"/>
              </w:rPr>
            </w:pPr>
            <w:r>
              <w:rPr>
                <w:rFonts w:eastAsia="仿宋"/>
                <w:sz w:val="24"/>
                <w:szCs w:val="24"/>
              </w:rPr>
              <w:t xml:space="preserve">4.3.2 </w:t>
            </w:r>
            <w:r>
              <w:rPr>
                <w:rFonts w:eastAsia="仿宋"/>
                <w:sz w:val="24"/>
                <w:szCs w:val="24"/>
              </w:rPr>
              <w:t>物料装车前应采取相应的消毒处理措施，车辆驶离收集、暂存、养殖等场所前，对车轮及车厢外部进行冲洗及喷雾消毒。</w:t>
            </w:r>
          </w:p>
          <w:p w14:paraId="3B46647F" w14:textId="77777777" w:rsidR="000E76B9" w:rsidRDefault="00A86600">
            <w:pPr>
              <w:snapToGrid w:val="0"/>
              <w:spacing w:line="260" w:lineRule="exact"/>
              <w:jc w:val="left"/>
              <w:rPr>
                <w:rFonts w:eastAsia="仿宋"/>
                <w:sz w:val="24"/>
                <w:szCs w:val="24"/>
              </w:rPr>
            </w:pPr>
            <w:r>
              <w:rPr>
                <w:rFonts w:eastAsia="仿宋"/>
                <w:sz w:val="24"/>
                <w:szCs w:val="24"/>
              </w:rPr>
              <w:t xml:space="preserve">4.3.4 </w:t>
            </w:r>
            <w:r>
              <w:rPr>
                <w:rFonts w:eastAsia="仿宋"/>
                <w:sz w:val="24"/>
                <w:szCs w:val="24"/>
              </w:rPr>
              <w:t>动物及动物产品运送至无害化收集和集中处理场所处理车间卸载后，应对运输车辆进行喷淋消毒，车辆离开前对车轮及车厢外部进行清洗、消</w:t>
            </w:r>
            <w:r>
              <w:rPr>
                <w:rFonts w:eastAsia="仿宋"/>
                <w:sz w:val="24"/>
                <w:szCs w:val="24"/>
              </w:rPr>
              <w:lastRenderedPageBreak/>
              <w:t>毒。</w:t>
            </w:r>
          </w:p>
          <w:p w14:paraId="168A1CE1" w14:textId="77777777" w:rsidR="000E76B9" w:rsidRDefault="00A86600">
            <w:pPr>
              <w:snapToGrid w:val="0"/>
              <w:spacing w:line="260" w:lineRule="exact"/>
              <w:jc w:val="left"/>
              <w:rPr>
                <w:rFonts w:eastAsia="仿宋"/>
                <w:sz w:val="24"/>
                <w:szCs w:val="24"/>
              </w:rPr>
            </w:pPr>
            <w:r>
              <w:rPr>
                <w:rFonts w:eastAsia="仿宋"/>
                <w:sz w:val="24"/>
                <w:szCs w:val="24"/>
              </w:rPr>
              <w:t xml:space="preserve">4.3.5 </w:t>
            </w:r>
            <w:r>
              <w:rPr>
                <w:rFonts w:eastAsia="仿宋"/>
                <w:sz w:val="24"/>
                <w:szCs w:val="24"/>
              </w:rPr>
              <w:t>应定期对生产区域内运输道路及生产区环境进行清洗消毒。</w:t>
            </w:r>
          </w:p>
        </w:tc>
        <w:tc>
          <w:tcPr>
            <w:tcW w:w="859" w:type="pct"/>
            <w:tcBorders>
              <w:top w:val="single" w:sz="2" w:space="0" w:color="000000"/>
              <w:left w:val="single" w:sz="2" w:space="0" w:color="000000"/>
              <w:bottom w:val="single" w:sz="2" w:space="0" w:color="000000"/>
              <w:right w:val="single" w:sz="2" w:space="0" w:color="000000"/>
            </w:tcBorders>
            <w:vAlign w:val="center"/>
          </w:tcPr>
          <w:p w14:paraId="4B8294D1" w14:textId="77777777" w:rsidR="000E76B9" w:rsidRDefault="00A86600">
            <w:pPr>
              <w:spacing w:line="260" w:lineRule="exact"/>
              <w:rPr>
                <w:rFonts w:eastAsia="仿宋"/>
                <w:sz w:val="24"/>
                <w:szCs w:val="24"/>
              </w:rPr>
            </w:pPr>
            <w:r>
              <w:rPr>
                <w:rFonts w:eastAsia="仿宋"/>
                <w:sz w:val="24"/>
                <w:szCs w:val="24"/>
              </w:rPr>
              <w:lastRenderedPageBreak/>
              <w:t xml:space="preserve">7.3.2 </w:t>
            </w:r>
            <w:r>
              <w:rPr>
                <w:rFonts w:eastAsia="仿宋"/>
                <w:sz w:val="24"/>
                <w:szCs w:val="24"/>
              </w:rPr>
              <w:t>车辆驶离暂存、养殖等场所前，对车轮及车厢外部进行消毒。</w:t>
            </w:r>
          </w:p>
          <w:p w14:paraId="6B93EECA" w14:textId="77777777" w:rsidR="000E76B9" w:rsidRDefault="00A86600">
            <w:pPr>
              <w:spacing w:line="260" w:lineRule="exact"/>
              <w:rPr>
                <w:rFonts w:eastAsia="仿宋"/>
                <w:sz w:val="24"/>
                <w:szCs w:val="24"/>
              </w:rPr>
            </w:pPr>
            <w:r>
              <w:rPr>
                <w:rFonts w:eastAsia="仿宋"/>
                <w:sz w:val="24"/>
                <w:szCs w:val="24"/>
              </w:rPr>
              <w:t xml:space="preserve">7.3.5 </w:t>
            </w:r>
            <w:r>
              <w:rPr>
                <w:rFonts w:eastAsia="仿宋"/>
                <w:sz w:val="24"/>
                <w:szCs w:val="24"/>
              </w:rPr>
              <w:t>卸载后，对运输车辆及相关工具等进行彻底清洗、消毒。</w:t>
            </w:r>
          </w:p>
        </w:tc>
        <w:tc>
          <w:tcPr>
            <w:tcW w:w="489" w:type="pct"/>
            <w:tcBorders>
              <w:top w:val="single" w:sz="2" w:space="0" w:color="000000"/>
              <w:left w:val="single" w:sz="2" w:space="0" w:color="000000"/>
              <w:bottom w:val="single" w:sz="2" w:space="0" w:color="000000"/>
              <w:right w:val="single" w:sz="2" w:space="0" w:color="000000"/>
            </w:tcBorders>
            <w:vAlign w:val="center"/>
          </w:tcPr>
          <w:p w14:paraId="253CA58F"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572" w:type="pct"/>
            <w:tcBorders>
              <w:top w:val="single" w:sz="2" w:space="0" w:color="000000"/>
              <w:left w:val="single" w:sz="2" w:space="0" w:color="000000"/>
              <w:bottom w:val="single" w:sz="2" w:space="0" w:color="000000"/>
              <w:right w:val="single" w:sz="2" w:space="0" w:color="000000"/>
            </w:tcBorders>
            <w:vAlign w:val="center"/>
          </w:tcPr>
          <w:p w14:paraId="22A82143"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08" w:type="pct"/>
            <w:tcBorders>
              <w:top w:val="single" w:sz="2" w:space="0" w:color="000000"/>
              <w:left w:val="single" w:sz="2" w:space="0" w:color="000000"/>
              <w:bottom w:val="single" w:sz="2" w:space="0" w:color="000000"/>
              <w:right w:val="single" w:sz="2" w:space="0" w:color="000000"/>
            </w:tcBorders>
            <w:vAlign w:val="center"/>
          </w:tcPr>
          <w:p w14:paraId="2710D7AA" w14:textId="77777777" w:rsidR="000E76B9" w:rsidRDefault="00A86600">
            <w:pPr>
              <w:spacing w:line="260" w:lineRule="exact"/>
              <w:rPr>
                <w:rFonts w:eastAsia="仿宋"/>
                <w:sz w:val="24"/>
                <w:szCs w:val="24"/>
              </w:rPr>
            </w:pPr>
            <w:r>
              <w:rPr>
                <w:rFonts w:eastAsia="仿宋"/>
                <w:sz w:val="24"/>
                <w:szCs w:val="24"/>
              </w:rPr>
              <w:t xml:space="preserve">6.3.3 </w:t>
            </w:r>
            <w:r>
              <w:rPr>
                <w:rFonts w:eastAsia="仿宋"/>
                <w:sz w:val="24"/>
                <w:szCs w:val="24"/>
              </w:rPr>
              <w:t>车辆驶离动物尸体暂存场所，应对车轮及车厢外部进行消毒。</w:t>
            </w:r>
          </w:p>
          <w:p w14:paraId="4C2E63CF" w14:textId="77777777" w:rsidR="000E76B9" w:rsidRDefault="00A86600">
            <w:pPr>
              <w:spacing w:line="260" w:lineRule="exact"/>
              <w:rPr>
                <w:rFonts w:eastAsia="仿宋"/>
                <w:sz w:val="24"/>
                <w:szCs w:val="24"/>
              </w:rPr>
            </w:pPr>
            <w:r>
              <w:rPr>
                <w:rFonts w:eastAsia="仿宋"/>
                <w:sz w:val="24"/>
                <w:szCs w:val="24"/>
              </w:rPr>
              <w:t>6.3.6</w:t>
            </w:r>
            <w:r>
              <w:rPr>
                <w:rFonts w:eastAsia="仿宋"/>
                <w:sz w:val="24"/>
                <w:szCs w:val="24"/>
              </w:rPr>
              <w:t>卸载后，应对转运车辆及相关工具等进行彻底清洗、消毒。</w:t>
            </w:r>
          </w:p>
        </w:tc>
        <w:tc>
          <w:tcPr>
            <w:tcW w:w="630" w:type="pct"/>
            <w:tcBorders>
              <w:top w:val="single" w:sz="2" w:space="0" w:color="000000"/>
              <w:left w:val="single" w:sz="2" w:space="0" w:color="000000"/>
              <w:bottom w:val="single" w:sz="2" w:space="0" w:color="000000"/>
              <w:right w:val="single" w:sz="2" w:space="0" w:color="000000"/>
            </w:tcBorders>
            <w:vAlign w:val="center"/>
          </w:tcPr>
          <w:p w14:paraId="2AB7C7E1"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24" w:type="pct"/>
            <w:tcBorders>
              <w:top w:val="single" w:sz="2" w:space="0" w:color="000000"/>
              <w:left w:val="single" w:sz="2" w:space="0" w:color="000000"/>
              <w:bottom w:val="single" w:sz="2" w:space="0" w:color="000000"/>
              <w:right w:val="single" w:sz="2" w:space="0" w:color="000000"/>
            </w:tcBorders>
            <w:vAlign w:val="center"/>
          </w:tcPr>
          <w:p w14:paraId="677BC7BF" w14:textId="77777777" w:rsidR="000E76B9" w:rsidRDefault="00A86600">
            <w:pPr>
              <w:snapToGrid w:val="0"/>
              <w:spacing w:line="260" w:lineRule="exact"/>
              <w:jc w:val="left"/>
              <w:rPr>
                <w:rFonts w:eastAsia="仿宋"/>
                <w:sz w:val="24"/>
                <w:szCs w:val="24"/>
              </w:rPr>
            </w:pPr>
            <w:r>
              <w:rPr>
                <w:rFonts w:eastAsia="仿宋"/>
                <w:sz w:val="24"/>
                <w:szCs w:val="24"/>
              </w:rPr>
              <w:t xml:space="preserve">5.3.3 </w:t>
            </w:r>
            <w:r>
              <w:rPr>
                <w:rFonts w:eastAsia="仿宋"/>
                <w:sz w:val="24"/>
                <w:szCs w:val="24"/>
              </w:rPr>
              <w:t>车辆驶离暂存、养殖等场所前，应对车轮及车厢外部进行消毒。</w:t>
            </w:r>
          </w:p>
          <w:p w14:paraId="12AACF65" w14:textId="77777777" w:rsidR="000E76B9" w:rsidRDefault="00A86600">
            <w:pPr>
              <w:spacing w:line="260" w:lineRule="exact"/>
              <w:rPr>
                <w:rFonts w:eastAsia="仿宋"/>
                <w:sz w:val="24"/>
                <w:szCs w:val="24"/>
              </w:rPr>
            </w:pPr>
            <w:r>
              <w:rPr>
                <w:rFonts w:eastAsia="仿宋"/>
                <w:sz w:val="24"/>
                <w:szCs w:val="24"/>
              </w:rPr>
              <w:t xml:space="preserve">5.3.6 </w:t>
            </w:r>
            <w:r>
              <w:rPr>
                <w:rFonts w:eastAsia="仿宋"/>
                <w:sz w:val="24"/>
                <w:szCs w:val="24"/>
              </w:rPr>
              <w:t>卸载后，应对转运车辆及相关工具等进行清洗、消毒。</w:t>
            </w:r>
          </w:p>
        </w:tc>
      </w:tr>
      <w:tr w:rsidR="000E76B9" w14:paraId="134BACD0" w14:textId="77777777">
        <w:trPr>
          <w:trHeight w:val="458"/>
        </w:trPr>
        <w:tc>
          <w:tcPr>
            <w:tcW w:w="233" w:type="pct"/>
            <w:tcBorders>
              <w:top w:val="single" w:sz="2" w:space="0" w:color="000000"/>
              <w:left w:val="single" w:sz="2" w:space="0" w:color="000000"/>
              <w:bottom w:val="single" w:sz="2" w:space="0" w:color="000000"/>
              <w:right w:val="single" w:sz="2" w:space="0" w:color="000000"/>
            </w:tcBorders>
            <w:vAlign w:val="center"/>
          </w:tcPr>
          <w:p w14:paraId="4909121F" w14:textId="77777777" w:rsidR="000E76B9" w:rsidRDefault="00A86600">
            <w:pPr>
              <w:snapToGrid w:val="0"/>
              <w:spacing w:line="260" w:lineRule="exact"/>
              <w:jc w:val="left"/>
              <w:rPr>
                <w:rFonts w:eastAsia="仿宋"/>
                <w:sz w:val="24"/>
                <w:szCs w:val="24"/>
              </w:rPr>
            </w:pPr>
            <w:r>
              <w:rPr>
                <w:rFonts w:eastAsia="仿宋"/>
                <w:sz w:val="24"/>
                <w:szCs w:val="24"/>
              </w:rPr>
              <w:t>暂存</w:t>
            </w:r>
          </w:p>
        </w:tc>
        <w:tc>
          <w:tcPr>
            <w:tcW w:w="981" w:type="pct"/>
            <w:tcBorders>
              <w:top w:val="single" w:sz="2" w:space="0" w:color="000000"/>
              <w:left w:val="single" w:sz="2" w:space="0" w:color="000000"/>
              <w:bottom w:val="single" w:sz="2" w:space="0" w:color="000000"/>
              <w:right w:val="single" w:sz="2" w:space="0" w:color="000000"/>
            </w:tcBorders>
            <w:vAlign w:val="center"/>
          </w:tcPr>
          <w:p w14:paraId="7C090EF1" w14:textId="77777777" w:rsidR="000E76B9" w:rsidRDefault="00A86600">
            <w:pPr>
              <w:snapToGrid w:val="0"/>
              <w:spacing w:line="260" w:lineRule="exact"/>
              <w:jc w:val="left"/>
              <w:rPr>
                <w:rFonts w:eastAsia="仿宋"/>
                <w:sz w:val="24"/>
                <w:szCs w:val="24"/>
              </w:rPr>
            </w:pPr>
            <w:r>
              <w:rPr>
                <w:rFonts w:eastAsia="仿宋"/>
                <w:sz w:val="24"/>
                <w:szCs w:val="24"/>
              </w:rPr>
              <w:t xml:space="preserve">4.4.1 </w:t>
            </w:r>
            <w:r>
              <w:rPr>
                <w:rFonts w:eastAsia="仿宋"/>
                <w:sz w:val="24"/>
                <w:szCs w:val="24"/>
              </w:rPr>
              <w:t>物料卸料区应密闭负压，恶臭（异味）污染物经集中收集处理达标后排放。物料卸料区应定期喷洒除臭剂。</w:t>
            </w:r>
          </w:p>
          <w:p w14:paraId="028F3209" w14:textId="77777777" w:rsidR="000E76B9" w:rsidRDefault="00A86600">
            <w:pPr>
              <w:snapToGrid w:val="0"/>
              <w:spacing w:line="260" w:lineRule="exact"/>
              <w:jc w:val="left"/>
              <w:rPr>
                <w:rFonts w:eastAsia="仿宋"/>
                <w:sz w:val="24"/>
                <w:szCs w:val="24"/>
              </w:rPr>
            </w:pPr>
            <w:r>
              <w:rPr>
                <w:rFonts w:eastAsia="仿宋"/>
                <w:sz w:val="24"/>
                <w:szCs w:val="24"/>
              </w:rPr>
              <w:t xml:space="preserve">4.4.2 </w:t>
            </w:r>
            <w:r>
              <w:rPr>
                <w:rFonts w:eastAsia="仿宋"/>
                <w:sz w:val="24"/>
                <w:szCs w:val="24"/>
              </w:rPr>
              <w:t>物料卸料区进出口应设置自动门，无物料进出时，应关闭自动门。物料应直接卸入料仓，不能及时处理的物料应卸至周转箱，运入冷库暂存。卸料区和冷库应设有风幕和恶臭（异味）污染物收集系统。</w:t>
            </w:r>
          </w:p>
          <w:p w14:paraId="4A7F27C2" w14:textId="77777777" w:rsidR="000E76B9" w:rsidRDefault="00A86600">
            <w:pPr>
              <w:snapToGrid w:val="0"/>
              <w:spacing w:line="260" w:lineRule="exact"/>
              <w:jc w:val="left"/>
              <w:rPr>
                <w:rFonts w:eastAsia="仿宋"/>
                <w:sz w:val="24"/>
                <w:szCs w:val="24"/>
              </w:rPr>
            </w:pPr>
            <w:r>
              <w:rPr>
                <w:rFonts w:eastAsia="仿宋"/>
                <w:sz w:val="24"/>
                <w:szCs w:val="24"/>
              </w:rPr>
              <w:t xml:space="preserve">4.4.3 </w:t>
            </w:r>
            <w:r>
              <w:rPr>
                <w:rFonts w:eastAsia="仿宋"/>
                <w:sz w:val="24"/>
                <w:szCs w:val="24"/>
              </w:rPr>
              <w:t>料仓为密闭结构，仅在投料时打开。料仓内废气经收集进入车间除臭系统或进入焚烧炉处理后排放。</w:t>
            </w:r>
          </w:p>
        </w:tc>
        <w:tc>
          <w:tcPr>
            <w:tcW w:w="859" w:type="pct"/>
            <w:tcBorders>
              <w:top w:val="single" w:sz="2" w:space="0" w:color="000000"/>
              <w:left w:val="single" w:sz="2" w:space="0" w:color="000000"/>
              <w:bottom w:val="single" w:sz="2" w:space="0" w:color="000000"/>
              <w:right w:val="single" w:sz="2" w:space="0" w:color="000000"/>
            </w:tcBorders>
            <w:vAlign w:val="center"/>
          </w:tcPr>
          <w:p w14:paraId="0B2528EE" w14:textId="77777777" w:rsidR="000E76B9" w:rsidRDefault="00A86600">
            <w:pPr>
              <w:snapToGrid w:val="0"/>
              <w:spacing w:line="260" w:lineRule="exact"/>
              <w:jc w:val="left"/>
              <w:rPr>
                <w:rFonts w:eastAsia="仿宋"/>
                <w:sz w:val="24"/>
                <w:szCs w:val="24"/>
              </w:rPr>
            </w:pPr>
            <w:r>
              <w:rPr>
                <w:rFonts w:eastAsia="仿宋"/>
                <w:sz w:val="24"/>
                <w:szCs w:val="24"/>
              </w:rPr>
              <w:t xml:space="preserve">7.2.1 </w:t>
            </w:r>
            <w:r>
              <w:rPr>
                <w:rFonts w:eastAsia="仿宋"/>
                <w:sz w:val="24"/>
                <w:szCs w:val="24"/>
              </w:rPr>
              <w:t>采用冷冻或冷藏方式进行暂存，防止无害化处理前动物尸体腐败。</w:t>
            </w:r>
          </w:p>
          <w:p w14:paraId="2B9FE8B6" w14:textId="77777777" w:rsidR="000E76B9" w:rsidRDefault="00A86600">
            <w:pPr>
              <w:snapToGrid w:val="0"/>
              <w:spacing w:line="260" w:lineRule="exact"/>
              <w:jc w:val="left"/>
              <w:rPr>
                <w:rFonts w:eastAsia="仿宋"/>
                <w:sz w:val="24"/>
                <w:szCs w:val="24"/>
              </w:rPr>
            </w:pPr>
            <w:r>
              <w:rPr>
                <w:rFonts w:eastAsia="仿宋"/>
                <w:sz w:val="24"/>
                <w:szCs w:val="24"/>
              </w:rPr>
              <w:t xml:space="preserve">7.2.2 </w:t>
            </w:r>
            <w:r>
              <w:rPr>
                <w:rFonts w:eastAsia="仿宋"/>
                <w:sz w:val="24"/>
                <w:szCs w:val="24"/>
              </w:rPr>
              <w:t>使用恶臭气味处理设备，有效吸附过滤暂存及处理过程中动物尸体产生的异味。</w:t>
            </w:r>
          </w:p>
          <w:p w14:paraId="30AF5513" w14:textId="77777777" w:rsidR="000E76B9" w:rsidRDefault="00A86600">
            <w:pPr>
              <w:snapToGrid w:val="0"/>
              <w:spacing w:line="260" w:lineRule="exact"/>
              <w:jc w:val="left"/>
              <w:rPr>
                <w:rFonts w:eastAsia="仿宋"/>
                <w:sz w:val="24"/>
                <w:szCs w:val="24"/>
              </w:rPr>
            </w:pPr>
            <w:r>
              <w:rPr>
                <w:rFonts w:eastAsia="仿宋"/>
                <w:sz w:val="24"/>
                <w:szCs w:val="24"/>
              </w:rPr>
              <w:t xml:space="preserve">7.2.3 </w:t>
            </w:r>
            <w:r>
              <w:rPr>
                <w:rFonts w:eastAsia="仿宋"/>
                <w:sz w:val="24"/>
                <w:szCs w:val="24"/>
              </w:rPr>
              <w:t>暂存场所能防水、防渗、防鼠、防盗，易于清洗和消毒。</w:t>
            </w:r>
          </w:p>
          <w:p w14:paraId="515F9444" w14:textId="77777777" w:rsidR="000E76B9" w:rsidRDefault="00A86600">
            <w:pPr>
              <w:snapToGrid w:val="0"/>
              <w:spacing w:line="260" w:lineRule="exact"/>
              <w:jc w:val="left"/>
              <w:rPr>
                <w:rFonts w:eastAsia="仿宋"/>
                <w:sz w:val="24"/>
                <w:szCs w:val="24"/>
              </w:rPr>
            </w:pPr>
            <w:r>
              <w:rPr>
                <w:rFonts w:eastAsia="仿宋"/>
                <w:sz w:val="24"/>
                <w:szCs w:val="24"/>
              </w:rPr>
              <w:t xml:space="preserve">7.2.5 </w:t>
            </w:r>
            <w:r>
              <w:rPr>
                <w:rFonts w:eastAsia="仿宋"/>
                <w:sz w:val="24"/>
                <w:szCs w:val="24"/>
              </w:rPr>
              <w:t>定期对暂存场所及周边环境进行清洗消毒。</w:t>
            </w:r>
          </w:p>
        </w:tc>
        <w:tc>
          <w:tcPr>
            <w:tcW w:w="489" w:type="pct"/>
            <w:tcBorders>
              <w:top w:val="single" w:sz="2" w:space="0" w:color="000000"/>
              <w:left w:val="single" w:sz="2" w:space="0" w:color="000000"/>
              <w:bottom w:val="single" w:sz="2" w:space="0" w:color="000000"/>
              <w:right w:val="single" w:sz="2" w:space="0" w:color="000000"/>
            </w:tcBorders>
            <w:vAlign w:val="center"/>
          </w:tcPr>
          <w:p w14:paraId="5AC7D0CA"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572" w:type="pct"/>
            <w:tcBorders>
              <w:top w:val="single" w:sz="2" w:space="0" w:color="000000"/>
              <w:left w:val="single" w:sz="2" w:space="0" w:color="000000"/>
              <w:bottom w:val="single" w:sz="2" w:space="0" w:color="000000"/>
              <w:right w:val="single" w:sz="2" w:space="0" w:color="000000"/>
            </w:tcBorders>
            <w:vAlign w:val="center"/>
          </w:tcPr>
          <w:p w14:paraId="3EA1B84A"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08" w:type="pct"/>
            <w:tcBorders>
              <w:top w:val="single" w:sz="2" w:space="0" w:color="000000"/>
              <w:left w:val="single" w:sz="2" w:space="0" w:color="000000"/>
              <w:bottom w:val="single" w:sz="2" w:space="0" w:color="000000"/>
              <w:right w:val="single" w:sz="2" w:space="0" w:color="000000"/>
            </w:tcBorders>
            <w:vAlign w:val="center"/>
          </w:tcPr>
          <w:p w14:paraId="5D27BFBB" w14:textId="77777777" w:rsidR="000E76B9" w:rsidRDefault="00A86600">
            <w:pPr>
              <w:snapToGrid w:val="0"/>
              <w:spacing w:line="260" w:lineRule="exact"/>
              <w:jc w:val="left"/>
              <w:rPr>
                <w:rFonts w:eastAsia="仿宋"/>
                <w:sz w:val="24"/>
                <w:szCs w:val="24"/>
              </w:rPr>
            </w:pPr>
            <w:r>
              <w:rPr>
                <w:rFonts w:eastAsia="仿宋"/>
                <w:sz w:val="24"/>
                <w:szCs w:val="24"/>
              </w:rPr>
              <w:t xml:space="preserve">6.2.1 </w:t>
            </w:r>
            <w:r>
              <w:rPr>
                <w:rFonts w:eastAsia="仿宋"/>
                <w:sz w:val="24"/>
                <w:szCs w:val="24"/>
              </w:rPr>
              <w:t>采用冷冻或冷藏方式进行封存，防止无害化处理前野生动物尸体腐败或向外流失。</w:t>
            </w:r>
          </w:p>
          <w:p w14:paraId="58F34266" w14:textId="77777777" w:rsidR="000E76B9" w:rsidRDefault="00A86600">
            <w:pPr>
              <w:snapToGrid w:val="0"/>
              <w:spacing w:line="260" w:lineRule="exact"/>
              <w:jc w:val="left"/>
              <w:rPr>
                <w:rFonts w:eastAsia="仿宋"/>
                <w:sz w:val="24"/>
                <w:szCs w:val="24"/>
              </w:rPr>
            </w:pPr>
            <w:r>
              <w:rPr>
                <w:rFonts w:eastAsia="仿宋"/>
                <w:sz w:val="24"/>
                <w:szCs w:val="24"/>
              </w:rPr>
              <w:t xml:space="preserve">6.2.2 </w:t>
            </w:r>
            <w:r>
              <w:rPr>
                <w:rFonts w:eastAsia="仿宋"/>
                <w:sz w:val="24"/>
                <w:szCs w:val="24"/>
              </w:rPr>
              <w:t>封存场所应能防水、防渗、防鼠、防盗，易于清洗和消毒。</w:t>
            </w:r>
          </w:p>
          <w:p w14:paraId="07471840" w14:textId="77777777" w:rsidR="000E76B9" w:rsidRDefault="00A86600">
            <w:pPr>
              <w:snapToGrid w:val="0"/>
              <w:spacing w:line="260" w:lineRule="exact"/>
              <w:jc w:val="left"/>
              <w:rPr>
                <w:rFonts w:eastAsia="仿宋"/>
                <w:sz w:val="24"/>
                <w:szCs w:val="24"/>
              </w:rPr>
            </w:pPr>
            <w:r>
              <w:rPr>
                <w:rFonts w:eastAsia="仿宋"/>
                <w:sz w:val="24"/>
                <w:szCs w:val="24"/>
              </w:rPr>
              <w:t xml:space="preserve">6.2.5 </w:t>
            </w:r>
            <w:r>
              <w:rPr>
                <w:rFonts w:eastAsia="仿宋"/>
                <w:sz w:val="24"/>
                <w:szCs w:val="24"/>
              </w:rPr>
              <w:t>应定期对封存场所及周边环境进行清洗消毒。</w:t>
            </w:r>
          </w:p>
        </w:tc>
        <w:tc>
          <w:tcPr>
            <w:tcW w:w="630" w:type="pct"/>
            <w:tcBorders>
              <w:top w:val="single" w:sz="2" w:space="0" w:color="000000"/>
              <w:left w:val="single" w:sz="2" w:space="0" w:color="000000"/>
              <w:bottom w:val="single" w:sz="2" w:space="0" w:color="000000"/>
              <w:right w:val="single" w:sz="2" w:space="0" w:color="000000"/>
            </w:tcBorders>
            <w:vAlign w:val="center"/>
          </w:tcPr>
          <w:p w14:paraId="4D7A16E2"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24" w:type="pct"/>
            <w:tcBorders>
              <w:top w:val="single" w:sz="2" w:space="0" w:color="000000"/>
              <w:left w:val="single" w:sz="2" w:space="0" w:color="000000"/>
              <w:bottom w:val="single" w:sz="2" w:space="0" w:color="000000"/>
              <w:right w:val="single" w:sz="2" w:space="0" w:color="000000"/>
            </w:tcBorders>
            <w:vAlign w:val="center"/>
          </w:tcPr>
          <w:p w14:paraId="5FCCA874" w14:textId="77777777" w:rsidR="000E76B9" w:rsidRDefault="00A86600">
            <w:pPr>
              <w:snapToGrid w:val="0"/>
              <w:spacing w:line="260" w:lineRule="exact"/>
              <w:jc w:val="left"/>
              <w:rPr>
                <w:rFonts w:eastAsia="仿宋"/>
                <w:sz w:val="24"/>
                <w:szCs w:val="24"/>
              </w:rPr>
            </w:pPr>
            <w:r>
              <w:rPr>
                <w:rFonts w:eastAsia="仿宋"/>
                <w:sz w:val="24"/>
                <w:szCs w:val="24"/>
              </w:rPr>
              <w:t xml:space="preserve">5.2.1 </w:t>
            </w:r>
            <w:r>
              <w:rPr>
                <w:rFonts w:eastAsia="仿宋"/>
                <w:sz w:val="24"/>
                <w:szCs w:val="24"/>
              </w:rPr>
              <w:t>采用冷冻方式进行暂存，防止无害化处理前动物及病害动物产品腐败。</w:t>
            </w:r>
          </w:p>
          <w:p w14:paraId="49674780" w14:textId="77777777" w:rsidR="000E76B9" w:rsidRDefault="00A86600">
            <w:pPr>
              <w:snapToGrid w:val="0"/>
              <w:spacing w:line="260" w:lineRule="exact"/>
              <w:jc w:val="left"/>
              <w:rPr>
                <w:rFonts w:eastAsia="仿宋"/>
                <w:sz w:val="24"/>
                <w:szCs w:val="24"/>
              </w:rPr>
            </w:pPr>
            <w:r>
              <w:rPr>
                <w:rFonts w:eastAsia="仿宋"/>
                <w:sz w:val="24"/>
                <w:szCs w:val="24"/>
              </w:rPr>
              <w:t xml:space="preserve">5.2.2 </w:t>
            </w:r>
            <w:r>
              <w:rPr>
                <w:rFonts w:eastAsia="仿宋"/>
                <w:sz w:val="24"/>
                <w:szCs w:val="24"/>
              </w:rPr>
              <w:t>暂存场所应能防水、防渗、防鼠、防盗，易于清洗和消毒。</w:t>
            </w:r>
          </w:p>
          <w:p w14:paraId="1A2EDFC8" w14:textId="77777777" w:rsidR="000E76B9" w:rsidRDefault="00A86600">
            <w:pPr>
              <w:snapToGrid w:val="0"/>
              <w:spacing w:line="260" w:lineRule="exact"/>
              <w:jc w:val="left"/>
              <w:rPr>
                <w:rFonts w:eastAsia="仿宋"/>
                <w:sz w:val="24"/>
                <w:szCs w:val="24"/>
              </w:rPr>
            </w:pPr>
            <w:r>
              <w:rPr>
                <w:rFonts w:eastAsia="仿宋"/>
                <w:sz w:val="24"/>
                <w:szCs w:val="24"/>
              </w:rPr>
              <w:t xml:space="preserve">5.2.4 </w:t>
            </w:r>
            <w:r>
              <w:rPr>
                <w:rFonts w:eastAsia="仿宋"/>
                <w:sz w:val="24"/>
                <w:szCs w:val="24"/>
              </w:rPr>
              <w:t>应定期对暂存场所及周边环境进行清洗消毒。</w:t>
            </w:r>
          </w:p>
        </w:tc>
      </w:tr>
      <w:tr w:rsidR="000E76B9" w14:paraId="496398B5" w14:textId="77777777">
        <w:trPr>
          <w:trHeight w:val="458"/>
        </w:trPr>
        <w:tc>
          <w:tcPr>
            <w:tcW w:w="233" w:type="pct"/>
            <w:tcBorders>
              <w:top w:val="single" w:sz="2" w:space="0" w:color="000000"/>
              <w:left w:val="single" w:sz="2" w:space="0" w:color="000000"/>
              <w:bottom w:val="single" w:sz="2" w:space="0" w:color="000000"/>
              <w:right w:val="single" w:sz="2" w:space="0" w:color="000000"/>
            </w:tcBorders>
            <w:vAlign w:val="center"/>
          </w:tcPr>
          <w:p w14:paraId="59316108" w14:textId="77777777" w:rsidR="000E76B9" w:rsidRDefault="00A86600">
            <w:pPr>
              <w:snapToGrid w:val="0"/>
              <w:spacing w:line="260" w:lineRule="exact"/>
              <w:jc w:val="left"/>
              <w:rPr>
                <w:rFonts w:eastAsia="仿宋"/>
                <w:sz w:val="24"/>
                <w:szCs w:val="24"/>
              </w:rPr>
            </w:pPr>
            <w:r>
              <w:rPr>
                <w:rFonts w:eastAsia="仿宋"/>
                <w:sz w:val="24"/>
                <w:szCs w:val="24"/>
              </w:rPr>
              <w:t>处理</w:t>
            </w:r>
          </w:p>
        </w:tc>
        <w:tc>
          <w:tcPr>
            <w:tcW w:w="981" w:type="pct"/>
            <w:tcBorders>
              <w:top w:val="single" w:sz="2" w:space="0" w:color="000000"/>
              <w:left w:val="single" w:sz="2" w:space="0" w:color="000000"/>
              <w:bottom w:val="single" w:sz="2" w:space="0" w:color="000000"/>
              <w:right w:val="single" w:sz="2" w:space="0" w:color="000000"/>
            </w:tcBorders>
            <w:vAlign w:val="center"/>
          </w:tcPr>
          <w:p w14:paraId="566455F5" w14:textId="77777777" w:rsidR="000E76B9" w:rsidRDefault="00A86600">
            <w:pPr>
              <w:snapToGrid w:val="0"/>
              <w:spacing w:line="260" w:lineRule="exact"/>
              <w:jc w:val="left"/>
              <w:rPr>
                <w:rFonts w:eastAsia="仿宋"/>
                <w:sz w:val="24"/>
                <w:szCs w:val="24"/>
              </w:rPr>
            </w:pPr>
            <w:r>
              <w:rPr>
                <w:rFonts w:eastAsia="仿宋"/>
                <w:sz w:val="24"/>
                <w:szCs w:val="24"/>
              </w:rPr>
              <w:t xml:space="preserve">4.5.3 </w:t>
            </w:r>
            <w:r>
              <w:rPr>
                <w:rFonts w:eastAsia="仿宋"/>
                <w:sz w:val="24"/>
                <w:szCs w:val="24"/>
              </w:rPr>
              <w:t>卸料间、冷库、切割间、密闭输送系统和焚</w:t>
            </w:r>
            <w:r>
              <w:rPr>
                <w:rFonts w:eastAsia="仿宋"/>
                <w:sz w:val="24"/>
                <w:szCs w:val="24"/>
              </w:rPr>
              <w:lastRenderedPageBreak/>
              <w:t>烧炉投料过程所收集的恶臭（异味）污染物应经过高温焚烧或化学洗涤、生物过滤、活性炭吸附等措施处理达标后排放。</w:t>
            </w:r>
          </w:p>
          <w:p w14:paraId="624280FA" w14:textId="77777777" w:rsidR="000E76B9" w:rsidRDefault="00A86600">
            <w:pPr>
              <w:snapToGrid w:val="0"/>
              <w:spacing w:line="260" w:lineRule="exact"/>
              <w:jc w:val="left"/>
              <w:rPr>
                <w:rFonts w:eastAsia="仿宋"/>
                <w:sz w:val="24"/>
                <w:szCs w:val="24"/>
              </w:rPr>
            </w:pPr>
            <w:r>
              <w:rPr>
                <w:rFonts w:eastAsia="仿宋"/>
                <w:sz w:val="24"/>
                <w:szCs w:val="24"/>
              </w:rPr>
              <w:t xml:space="preserve">4.5.4 </w:t>
            </w:r>
            <w:r>
              <w:rPr>
                <w:rFonts w:eastAsia="仿宋"/>
                <w:sz w:val="24"/>
                <w:szCs w:val="24"/>
              </w:rPr>
              <w:t>焚烧炉应设置选择性非催化还原（</w:t>
            </w:r>
            <w:r>
              <w:rPr>
                <w:rFonts w:eastAsia="仿宋"/>
                <w:sz w:val="24"/>
                <w:szCs w:val="24"/>
              </w:rPr>
              <w:t>Selective Non-Catalytic Reduction</w:t>
            </w:r>
            <w:r>
              <w:rPr>
                <w:rFonts w:eastAsia="仿宋"/>
                <w:sz w:val="24"/>
                <w:szCs w:val="24"/>
              </w:rPr>
              <w:t>，</w:t>
            </w:r>
            <w:r>
              <w:rPr>
                <w:rFonts w:eastAsia="仿宋"/>
                <w:sz w:val="24"/>
                <w:szCs w:val="24"/>
              </w:rPr>
              <w:t>SNCR</w:t>
            </w:r>
            <w:r>
              <w:rPr>
                <w:rFonts w:eastAsia="仿宋"/>
                <w:sz w:val="24"/>
                <w:szCs w:val="24"/>
              </w:rPr>
              <w:t>）脱硝、急冷塔、旋风除尘、干法或半干法或湿法脱酸、活性炭、布袋除尘等烟气净化设施。焚烧物料产生的恶臭（异味）污染物，在炉内与烟气一起通过焚烧炉烟气净化设施处理后达标排放。</w:t>
            </w:r>
          </w:p>
        </w:tc>
        <w:tc>
          <w:tcPr>
            <w:tcW w:w="859" w:type="pct"/>
            <w:tcBorders>
              <w:top w:val="single" w:sz="2" w:space="0" w:color="000000"/>
              <w:left w:val="single" w:sz="2" w:space="0" w:color="000000"/>
              <w:bottom w:val="single" w:sz="2" w:space="0" w:color="000000"/>
              <w:right w:val="single" w:sz="2" w:space="0" w:color="000000"/>
            </w:tcBorders>
            <w:vAlign w:val="center"/>
          </w:tcPr>
          <w:p w14:paraId="2C5AE305"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6.1.2 </w:t>
            </w:r>
            <w:r>
              <w:rPr>
                <w:rFonts w:eastAsia="仿宋"/>
                <w:sz w:val="24"/>
                <w:szCs w:val="24"/>
              </w:rPr>
              <w:t>直接焚烧法</w:t>
            </w:r>
          </w:p>
          <w:p w14:paraId="35C3F562" w14:textId="77777777" w:rsidR="000E76B9" w:rsidRDefault="00A86600">
            <w:pPr>
              <w:snapToGrid w:val="0"/>
              <w:spacing w:line="260" w:lineRule="exact"/>
              <w:jc w:val="left"/>
              <w:rPr>
                <w:rFonts w:eastAsia="仿宋"/>
                <w:sz w:val="24"/>
                <w:szCs w:val="24"/>
              </w:rPr>
            </w:pPr>
            <w:r>
              <w:rPr>
                <w:rFonts w:eastAsia="仿宋"/>
                <w:sz w:val="24"/>
                <w:szCs w:val="24"/>
              </w:rPr>
              <w:t xml:space="preserve">6.1.2.1.4 </w:t>
            </w:r>
            <w:r>
              <w:rPr>
                <w:rFonts w:eastAsia="仿宋"/>
                <w:sz w:val="24"/>
                <w:szCs w:val="24"/>
              </w:rPr>
              <w:t>二次燃烧室</w:t>
            </w:r>
            <w:r>
              <w:rPr>
                <w:rFonts w:eastAsia="仿宋"/>
                <w:sz w:val="24"/>
                <w:szCs w:val="24"/>
              </w:rPr>
              <w:lastRenderedPageBreak/>
              <w:t>出口烟气经余热利用系统、烟气净化系统处理，达到</w:t>
            </w:r>
            <w:r>
              <w:rPr>
                <w:rFonts w:eastAsia="仿宋"/>
                <w:sz w:val="24"/>
                <w:szCs w:val="24"/>
              </w:rPr>
              <w:t>GB16297</w:t>
            </w:r>
            <w:r>
              <w:rPr>
                <w:rFonts w:eastAsia="仿宋"/>
                <w:sz w:val="24"/>
                <w:szCs w:val="24"/>
              </w:rPr>
              <w:t>要求后排放。</w:t>
            </w:r>
          </w:p>
          <w:p w14:paraId="39A97DC7" w14:textId="77777777" w:rsidR="000E76B9" w:rsidRDefault="00A86600">
            <w:pPr>
              <w:snapToGrid w:val="0"/>
              <w:spacing w:line="260" w:lineRule="exact"/>
              <w:jc w:val="left"/>
              <w:rPr>
                <w:rFonts w:eastAsia="仿宋"/>
                <w:sz w:val="24"/>
                <w:szCs w:val="24"/>
              </w:rPr>
            </w:pPr>
            <w:r>
              <w:rPr>
                <w:rFonts w:eastAsia="仿宋"/>
                <w:sz w:val="24"/>
                <w:szCs w:val="24"/>
              </w:rPr>
              <w:t xml:space="preserve">6.1.2.2.4 </w:t>
            </w:r>
            <w:r>
              <w:rPr>
                <w:rFonts w:eastAsia="仿宋"/>
                <w:sz w:val="24"/>
                <w:szCs w:val="24"/>
              </w:rPr>
              <w:t>烟气净化系统，包括急冷塔、引风机等设施。</w:t>
            </w:r>
          </w:p>
          <w:p w14:paraId="364B1894" w14:textId="77777777" w:rsidR="000E76B9" w:rsidRDefault="00A86600">
            <w:pPr>
              <w:snapToGrid w:val="0"/>
              <w:spacing w:line="260" w:lineRule="exact"/>
              <w:jc w:val="left"/>
              <w:rPr>
                <w:rFonts w:eastAsia="仿宋"/>
                <w:sz w:val="24"/>
                <w:szCs w:val="24"/>
              </w:rPr>
            </w:pPr>
            <w:r>
              <w:rPr>
                <w:rFonts w:eastAsia="仿宋"/>
                <w:sz w:val="24"/>
                <w:szCs w:val="24"/>
              </w:rPr>
              <w:t xml:space="preserve">6.1.3 </w:t>
            </w:r>
            <w:r>
              <w:rPr>
                <w:rFonts w:eastAsia="仿宋"/>
                <w:sz w:val="24"/>
                <w:szCs w:val="24"/>
              </w:rPr>
              <w:t>炭化焚烧法</w:t>
            </w:r>
          </w:p>
          <w:p w14:paraId="79FAC512" w14:textId="77777777" w:rsidR="000E76B9" w:rsidRDefault="00A86600">
            <w:pPr>
              <w:snapToGrid w:val="0"/>
              <w:spacing w:line="260" w:lineRule="exact"/>
              <w:jc w:val="left"/>
              <w:rPr>
                <w:rFonts w:eastAsia="仿宋"/>
                <w:sz w:val="24"/>
                <w:szCs w:val="24"/>
              </w:rPr>
            </w:pPr>
            <w:r>
              <w:rPr>
                <w:rFonts w:eastAsia="仿宋"/>
                <w:sz w:val="24"/>
                <w:szCs w:val="24"/>
              </w:rPr>
              <w:t xml:space="preserve">6.1.3.1.3 </w:t>
            </w:r>
            <w:r>
              <w:rPr>
                <w:rFonts w:eastAsia="仿宋"/>
                <w:sz w:val="24"/>
                <w:szCs w:val="24"/>
              </w:rPr>
              <w:t>烟气经过热解炭化室热能回收后，降至</w:t>
            </w:r>
            <w:r>
              <w:rPr>
                <w:rFonts w:eastAsia="仿宋"/>
                <w:sz w:val="24"/>
                <w:szCs w:val="24"/>
              </w:rPr>
              <w:t>600℃</w:t>
            </w:r>
            <w:r>
              <w:rPr>
                <w:rFonts w:eastAsia="仿宋"/>
                <w:sz w:val="24"/>
                <w:szCs w:val="24"/>
              </w:rPr>
              <w:t>左右，经烟气净化系统处理，达到</w:t>
            </w:r>
            <w:r>
              <w:rPr>
                <w:rFonts w:eastAsia="仿宋"/>
                <w:sz w:val="24"/>
                <w:szCs w:val="24"/>
              </w:rPr>
              <w:t>GB16297</w:t>
            </w:r>
            <w:r>
              <w:rPr>
                <w:rFonts w:eastAsia="仿宋"/>
                <w:sz w:val="24"/>
                <w:szCs w:val="24"/>
              </w:rPr>
              <w:t>要求后排放。</w:t>
            </w:r>
          </w:p>
          <w:p w14:paraId="2467458B" w14:textId="77777777" w:rsidR="000E76B9" w:rsidRDefault="00A86600">
            <w:pPr>
              <w:snapToGrid w:val="0"/>
              <w:spacing w:line="260" w:lineRule="exact"/>
              <w:jc w:val="left"/>
              <w:rPr>
                <w:rFonts w:eastAsia="仿宋"/>
                <w:sz w:val="24"/>
                <w:szCs w:val="24"/>
              </w:rPr>
            </w:pPr>
            <w:r>
              <w:rPr>
                <w:rFonts w:eastAsia="仿宋"/>
                <w:sz w:val="24"/>
                <w:szCs w:val="24"/>
              </w:rPr>
              <w:t>7.2.2</w:t>
            </w:r>
            <w:r>
              <w:rPr>
                <w:rFonts w:eastAsia="仿宋"/>
                <w:sz w:val="24"/>
                <w:szCs w:val="24"/>
              </w:rPr>
              <w:t>使用恶臭气味处理设备，有效吸附过滤暂存及处理过程中动物尸体产生的异味。</w:t>
            </w:r>
          </w:p>
        </w:tc>
        <w:tc>
          <w:tcPr>
            <w:tcW w:w="489" w:type="pct"/>
            <w:tcBorders>
              <w:top w:val="single" w:sz="2" w:space="0" w:color="000000"/>
              <w:left w:val="single" w:sz="2" w:space="0" w:color="000000"/>
              <w:bottom w:val="single" w:sz="2" w:space="0" w:color="000000"/>
              <w:right w:val="single" w:sz="2" w:space="0" w:color="000000"/>
            </w:tcBorders>
            <w:vAlign w:val="center"/>
          </w:tcPr>
          <w:p w14:paraId="28E39EAB" w14:textId="77777777" w:rsidR="000E76B9" w:rsidRDefault="00A86600">
            <w:pPr>
              <w:snapToGrid w:val="0"/>
              <w:spacing w:line="260" w:lineRule="exact"/>
              <w:jc w:val="left"/>
              <w:rPr>
                <w:rFonts w:eastAsia="仿宋"/>
                <w:sz w:val="24"/>
                <w:szCs w:val="24"/>
              </w:rPr>
            </w:pPr>
            <w:r>
              <w:rPr>
                <w:rFonts w:eastAsia="仿宋"/>
                <w:sz w:val="24"/>
                <w:szCs w:val="24"/>
              </w:rPr>
              <w:lastRenderedPageBreak/>
              <w:t>/</w:t>
            </w:r>
          </w:p>
        </w:tc>
        <w:tc>
          <w:tcPr>
            <w:tcW w:w="572" w:type="pct"/>
            <w:tcBorders>
              <w:top w:val="single" w:sz="2" w:space="0" w:color="000000"/>
              <w:left w:val="single" w:sz="2" w:space="0" w:color="000000"/>
              <w:bottom w:val="single" w:sz="2" w:space="0" w:color="000000"/>
              <w:right w:val="single" w:sz="2" w:space="0" w:color="000000"/>
            </w:tcBorders>
            <w:vAlign w:val="center"/>
          </w:tcPr>
          <w:p w14:paraId="3F4AD04D" w14:textId="77777777" w:rsidR="000E76B9" w:rsidRDefault="00A86600">
            <w:pPr>
              <w:snapToGrid w:val="0"/>
              <w:spacing w:line="260" w:lineRule="exact"/>
              <w:jc w:val="left"/>
              <w:rPr>
                <w:rFonts w:eastAsia="仿宋"/>
                <w:sz w:val="24"/>
                <w:szCs w:val="24"/>
              </w:rPr>
            </w:pPr>
            <w:r>
              <w:rPr>
                <w:rFonts w:eastAsia="仿宋"/>
                <w:sz w:val="24"/>
                <w:szCs w:val="24"/>
              </w:rPr>
              <w:t>/</w:t>
            </w:r>
          </w:p>
        </w:tc>
        <w:tc>
          <w:tcPr>
            <w:tcW w:w="608" w:type="pct"/>
            <w:tcBorders>
              <w:top w:val="single" w:sz="2" w:space="0" w:color="000000"/>
              <w:left w:val="single" w:sz="2" w:space="0" w:color="000000"/>
              <w:bottom w:val="single" w:sz="2" w:space="0" w:color="000000"/>
              <w:right w:val="single" w:sz="2" w:space="0" w:color="000000"/>
            </w:tcBorders>
            <w:vAlign w:val="center"/>
          </w:tcPr>
          <w:p w14:paraId="3425ED12" w14:textId="77777777" w:rsidR="000E76B9" w:rsidRDefault="00A86600">
            <w:pPr>
              <w:snapToGrid w:val="0"/>
              <w:spacing w:line="260" w:lineRule="exact"/>
              <w:jc w:val="left"/>
              <w:rPr>
                <w:rFonts w:eastAsia="仿宋"/>
                <w:sz w:val="24"/>
                <w:szCs w:val="24"/>
              </w:rPr>
            </w:pPr>
            <w:r>
              <w:rPr>
                <w:rFonts w:eastAsia="仿宋"/>
                <w:sz w:val="24"/>
                <w:szCs w:val="24"/>
              </w:rPr>
              <w:t xml:space="preserve">4.1 </w:t>
            </w:r>
            <w:r>
              <w:rPr>
                <w:rFonts w:eastAsia="仿宋"/>
                <w:sz w:val="24"/>
                <w:szCs w:val="24"/>
              </w:rPr>
              <w:t>焚烧法</w:t>
            </w:r>
          </w:p>
          <w:p w14:paraId="2E048FE0" w14:textId="77777777" w:rsidR="000E76B9" w:rsidRDefault="00A86600">
            <w:pPr>
              <w:snapToGrid w:val="0"/>
              <w:spacing w:line="260" w:lineRule="exact"/>
              <w:jc w:val="left"/>
              <w:rPr>
                <w:rFonts w:eastAsia="仿宋"/>
                <w:sz w:val="24"/>
                <w:szCs w:val="24"/>
              </w:rPr>
            </w:pPr>
            <w:r>
              <w:rPr>
                <w:rFonts w:eastAsia="仿宋"/>
                <w:sz w:val="24"/>
                <w:szCs w:val="24"/>
              </w:rPr>
              <w:t xml:space="preserve">4.1.2.3 </w:t>
            </w:r>
            <w:r>
              <w:rPr>
                <w:rFonts w:eastAsia="仿宋"/>
                <w:sz w:val="24"/>
                <w:szCs w:val="24"/>
              </w:rPr>
              <w:t>燃烧室</w:t>
            </w:r>
            <w:r>
              <w:rPr>
                <w:rFonts w:eastAsia="仿宋"/>
                <w:sz w:val="24"/>
                <w:szCs w:val="24"/>
              </w:rPr>
              <w:lastRenderedPageBreak/>
              <w:t>温度应</w:t>
            </w:r>
            <w:r>
              <w:rPr>
                <w:rFonts w:eastAsia="仿宋"/>
                <w:sz w:val="24"/>
                <w:szCs w:val="24"/>
              </w:rPr>
              <w:t>≥850℃</w:t>
            </w:r>
            <w:r>
              <w:rPr>
                <w:rFonts w:eastAsia="仿宋"/>
                <w:sz w:val="24"/>
                <w:szCs w:val="24"/>
              </w:rPr>
              <w:t>。燃烧所产生的烟气要经二次处理，应符合</w:t>
            </w:r>
            <w:r>
              <w:rPr>
                <w:rFonts w:eastAsia="仿宋"/>
                <w:sz w:val="24"/>
                <w:szCs w:val="24"/>
              </w:rPr>
              <w:t>GB/T16297</w:t>
            </w:r>
            <w:r>
              <w:rPr>
                <w:rFonts w:eastAsia="仿宋"/>
                <w:sz w:val="24"/>
                <w:szCs w:val="24"/>
              </w:rPr>
              <w:t>的要求后再排</w:t>
            </w:r>
          </w:p>
          <w:p w14:paraId="00105108" w14:textId="77777777" w:rsidR="000E76B9" w:rsidRDefault="00A86600">
            <w:pPr>
              <w:snapToGrid w:val="0"/>
              <w:spacing w:line="260" w:lineRule="exact"/>
              <w:jc w:val="left"/>
              <w:rPr>
                <w:rFonts w:eastAsia="仿宋"/>
                <w:sz w:val="24"/>
                <w:szCs w:val="24"/>
              </w:rPr>
            </w:pPr>
            <w:r>
              <w:rPr>
                <w:rFonts w:eastAsia="仿宋"/>
                <w:sz w:val="24"/>
                <w:szCs w:val="24"/>
              </w:rPr>
              <w:t>放。</w:t>
            </w:r>
          </w:p>
          <w:p w14:paraId="0D014C6B" w14:textId="77777777" w:rsidR="000E76B9" w:rsidRDefault="00A86600">
            <w:pPr>
              <w:snapToGrid w:val="0"/>
              <w:spacing w:line="260" w:lineRule="exact"/>
              <w:jc w:val="left"/>
              <w:rPr>
                <w:rFonts w:eastAsia="仿宋"/>
                <w:sz w:val="24"/>
                <w:szCs w:val="24"/>
              </w:rPr>
            </w:pPr>
            <w:r>
              <w:rPr>
                <w:rFonts w:eastAsia="仿宋"/>
                <w:sz w:val="24"/>
                <w:szCs w:val="24"/>
              </w:rPr>
              <w:t xml:space="preserve">4.1.3.4 </w:t>
            </w:r>
            <w:r>
              <w:rPr>
                <w:rFonts w:eastAsia="仿宋"/>
                <w:sz w:val="24"/>
                <w:szCs w:val="24"/>
              </w:rPr>
              <w:t>烟气净化系统，包括急冷塔、引风机等设施。</w:t>
            </w:r>
          </w:p>
        </w:tc>
        <w:tc>
          <w:tcPr>
            <w:tcW w:w="630" w:type="pct"/>
            <w:tcBorders>
              <w:top w:val="single" w:sz="2" w:space="0" w:color="000000"/>
              <w:left w:val="single" w:sz="2" w:space="0" w:color="000000"/>
              <w:bottom w:val="single" w:sz="2" w:space="0" w:color="000000"/>
              <w:right w:val="single" w:sz="2" w:space="0" w:color="000000"/>
            </w:tcBorders>
            <w:vAlign w:val="center"/>
          </w:tcPr>
          <w:p w14:paraId="05DD544E"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6.1.1 </w:t>
            </w:r>
            <w:r>
              <w:rPr>
                <w:rFonts w:eastAsia="仿宋"/>
                <w:sz w:val="24"/>
                <w:szCs w:val="24"/>
              </w:rPr>
              <w:t>直接焚烧法</w:t>
            </w:r>
          </w:p>
          <w:p w14:paraId="16F7F4A5"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6.1.1.4 </w:t>
            </w:r>
            <w:r>
              <w:rPr>
                <w:rFonts w:eastAsia="仿宋"/>
                <w:sz w:val="24"/>
                <w:szCs w:val="24"/>
              </w:rPr>
              <w:t>二次燃烧室出口烟气经余热利用系统、烟气净化系统处理，达到</w:t>
            </w:r>
            <w:r>
              <w:rPr>
                <w:rFonts w:eastAsia="仿宋"/>
                <w:sz w:val="24"/>
                <w:szCs w:val="24"/>
              </w:rPr>
              <w:t>GB16297</w:t>
            </w:r>
            <w:r>
              <w:rPr>
                <w:rFonts w:eastAsia="仿宋"/>
                <w:sz w:val="24"/>
                <w:szCs w:val="24"/>
              </w:rPr>
              <w:t>要求后排放。</w:t>
            </w:r>
          </w:p>
          <w:p w14:paraId="41712A16" w14:textId="77777777" w:rsidR="000E76B9" w:rsidRDefault="00A86600">
            <w:pPr>
              <w:snapToGrid w:val="0"/>
              <w:spacing w:line="260" w:lineRule="exact"/>
              <w:jc w:val="left"/>
              <w:rPr>
                <w:rFonts w:eastAsia="仿宋"/>
                <w:sz w:val="24"/>
                <w:szCs w:val="24"/>
              </w:rPr>
            </w:pPr>
            <w:r>
              <w:rPr>
                <w:rFonts w:eastAsia="仿宋"/>
                <w:sz w:val="24"/>
                <w:szCs w:val="24"/>
              </w:rPr>
              <w:t xml:space="preserve">6.1.2 </w:t>
            </w:r>
            <w:r>
              <w:rPr>
                <w:rFonts w:eastAsia="仿宋"/>
                <w:sz w:val="24"/>
                <w:szCs w:val="24"/>
              </w:rPr>
              <w:t>炭化焚烧法</w:t>
            </w:r>
          </w:p>
          <w:p w14:paraId="2D6874F7" w14:textId="77777777" w:rsidR="000E76B9" w:rsidRDefault="00A86600">
            <w:pPr>
              <w:snapToGrid w:val="0"/>
              <w:spacing w:line="260" w:lineRule="exact"/>
              <w:jc w:val="left"/>
              <w:rPr>
                <w:rFonts w:eastAsia="仿宋"/>
                <w:sz w:val="24"/>
                <w:szCs w:val="24"/>
              </w:rPr>
            </w:pPr>
            <w:r>
              <w:rPr>
                <w:rFonts w:eastAsia="仿宋"/>
                <w:sz w:val="24"/>
                <w:szCs w:val="24"/>
              </w:rPr>
              <w:t xml:space="preserve">6.1.2.3 </w:t>
            </w:r>
            <w:r>
              <w:rPr>
                <w:rFonts w:eastAsia="仿宋"/>
                <w:sz w:val="24"/>
                <w:szCs w:val="24"/>
              </w:rPr>
              <w:t>烟气经过热解炭化室热能回收后，降至</w:t>
            </w:r>
            <w:r>
              <w:rPr>
                <w:rFonts w:eastAsia="仿宋"/>
                <w:sz w:val="24"/>
                <w:szCs w:val="24"/>
              </w:rPr>
              <w:t>600℃</w:t>
            </w:r>
            <w:r>
              <w:rPr>
                <w:rFonts w:eastAsia="仿宋"/>
                <w:sz w:val="24"/>
                <w:szCs w:val="24"/>
              </w:rPr>
              <w:t>左右，经烟气净化系统处理，达到</w:t>
            </w:r>
            <w:r>
              <w:rPr>
                <w:rFonts w:eastAsia="仿宋"/>
                <w:sz w:val="24"/>
                <w:szCs w:val="24"/>
              </w:rPr>
              <w:t>GB16297</w:t>
            </w:r>
            <w:r>
              <w:rPr>
                <w:rFonts w:eastAsia="仿宋"/>
                <w:sz w:val="24"/>
                <w:szCs w:val="24"/>
              </w:rPr>
              <w:t>要求后排放。</w:t>
            </w:r>
          </w:p>
        </w:tc>
        <w:tc>
          <w:tcPr>
            <w:tcW w:w="624" w:type="pct"/>
            <w:tcBorders>
              <w:top w:val="single" w:sz="2" w:space="0" w:color="000000"/>
              <w:left w:val="single" w:sz="2" w:space="0" w:color="000000"/>
              <w:bottom w:val="single" w:sz="2" w:space="0" w:color="000000"/>
              <w:right w:val="single" w:sz="2" w:space="0" w:color="000000"/>
            </w:tcBorders>
            <w:vAlign w:val="center"/>
          </w:tcPr>
          <w:p w14:paraId="1B5BE95F"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4.1.2 </w:t>
            </w:r>
            <w:r>
              <w:rPr>
                <w:rFonts w:eastAsia="仿宋"/>
                <w:sz w:val="24"/>
                <w:szCs w:val="24"/>
              </w:rPr>
              <w:t>直接焚烧法</w:t>
            </w:r>
          </w:p>
          <w:p w14:paraId="3014997C" w14:textId="77777777" w:rsidR="000E76B9" w:rsidRDefault="00A86600">
            <w:pPr>
              <w:snapToGrid w:val="0"/>
              <w:spacing w:line="260" w:lineRule="exact"/>
              <w:jc w:val="left"/>
              <w:rPr>
                <w:rFonts w:eastAsia="仿宋"/>
                <w:sz w:val="24"/>
                <w:szCs w:val="24"/>
              </w:rPr>
            </w:pPr>
            <w:r>
              <w:rPr>
                <w:rFonts w:eastAsia="仿宋"/>
                <w:sz w:val="24"/>
                <w:szCs w:val="24"/>
              </w:rPr>
              <w:lastRenderedPageBreak/>
              <w:t xml:space="preserve">4.1.2.2 </w:t>
            </w:r>
            <w:r>
              <w:rPr>
                <w:rFonts w:eastAsia="仿宋"/>
                <w:sz w:val="24"/>
                <w:szCs w:val="24"/>
              </w:rPr>
              <w:t>二燃室出口烟气经余热利用系统、烟气净化系统处理后，应符合</w:t>
            </w:r>
            <w:r>
              <w:rPr>
                <w:rFonts w:eastAsia="仿宋"/>
                <w:sz w:val="24"/>
                <w:szCs w:val="24"/>
              </w:rPr>
              <w:t>GB14554</w:t>
            </w:r>
            <w:r>
              <w:rPr>
                <w:rFonts w:eastAsia="仿宋"/>
                <w:sz w:val="24"/>
                <w:szCs w:val="24"/>
              </w:rPr>
              <w:t>的规定。</w:t>
            </w:r>
          </w:p>
          <w:p w14:paraId="2150F7D3" w14:textId="77777777" w:rsidR="000E76B9" w:rsidRDefault="00A86600">
            <w:pPr>
              <w:snapToGrid w:val="0"/>
              <w:spacing w:line="260" w:lineRule="exact"/>
              <w:jc w:val="left"/>
              <w:rPr>
                <w:rFonts w:eastAsia="仿宋"/>
                <w:sz w:val="24"/>
                <w:szCs w:val="24"/>
              </w:rPr>
            </w:pPr>
            <w:r>
              <w:rPr>
                <w:rFonts w:eastAsia="仿宋"/>
                <w:sz w:val="24"/>
                <w:szCs w:val="24"/>
              </w:rPr>
              <w:t xml:space="preserve">4.1.3 </w:t>
            </w:r>
            <w:r>
              <w:rPr>
                <w:rFonts w:eastAsia="仿宋"/>
                <w:sz w:val="24"/>
                <w:szCs w:val="24"/>
              </w:rPr>
              <w:t>炭化焚烧法</w:t>
            </w:r>
          </w:p>
          <w:p w14:paraId="3A4021F5" w14:textId="77777777" w:rsidR="000E76B9" w:rsidRDefault="00A86600">
            <w:pPr>
              <w:snapToGrid w:val="0"/>
              <w:spacing w:line="260" w:lineRule="exact"/>
              <w:jc w:val="left"/>
              <w:rPr>
                <w:rFonts w:eastAsia="仿宋"/>
                <w:sz w:val="24"/>
                <w:szCs w:val="24"/>
              </w:rPr>
            </w:pPr>
            <w:r>
              <w:rPr>
                <w:rFonts w:eastAsia="仿宋"/>
                <w:sz w:val="24"/>
                <w:szCs w:val="24"/>
              </w:rPr>
              <w:t xml:space="preserve">4.1.3.2 </w:t>
            </w:r>
            <w:r>
              <w:rPr>
                <w:rFonts w:eastAsia="仿宋"/>
                <w:sz w:val="24"/>
                <w:szCs w:val="24"/>
              </w:rPr>
              <w:t>烟气经过热解炭化室热能回收后，降至</w:t>
            </w:r>
            <w:r>
              <w:rPr>
                <w:rFonts w:eastAsia="仿宋"/>
                <w:sz w:val="24"/>
                <w:szCs w:val="24"/>
              </w:rPr>
              <w:t>600℃</w:t>
            </w:r>
            <w:r>
              <w:rPr>
                <w:rFonts w:eastAsia="仿宋"/>
                <w:sz w:val="24"/>
                <w:szCs w:val="24"/>
              </w:rPr>
              <w:t>左右进入排烟管道。烟气经过湿式冷却塔进行</w:t>
            </w:r>
            <w:r>
              <w:rPr>
                <w:rFonts w:eastAsia="仿宋"/>
                <w:sz w:val="24"/>
                <w:szCs w:val="24"/>
              </w:rPr>
              <w:t>“</w:t>
            </w:r>
            <w:r>
              <w:rPr>
                <w:rFonts w:eastAsia="仿宋"/>
                <w:sz w:val="24"/>
                <w:szCs w:val="24"/>
              </w:rPr>
              <w:t>急冷</w:t>
            </w:r>
            <w:r>
              <w:rPr>
                <w:rFonts w:eastAsia="仿宋"/>
                <w:sz w:val="24"/>
                <w:szCs w:val="24"/>
              </w:rPr>
              <w:t>”</w:t>
            </w:r>
            <w:r>
              <w:rPr>
                <w:rFonts w:eastAsia="仿宋"/>
                <w:sz w:val="24"/>
                <w:szCs w:val="24"/>
              </w:rPr>
              <w:t>和</w:t>
            </w:r>
            <w:r>
              <w:rPr>
                <w:rFonts w:eastAsia="仿宋"/>
                <w:sz w:val="24"/>
                <w:szCs w:val="24"/>
              </w:rPr>
              <w:t>“</w:t>
            </w:r>
            <w:r>
              <w:rPr>
                <w:rFonts w:eastAsia="仿宋"/>
                <w:sz w:val="24"/>
                <w:szCs w:val="24"/>
              </w:rPr>
              <w:t>脱酸</w:t>
            </w:r>
            <w:r>
              <w:rPr>
                <w:rFonts w:eastAsia="仿宋"/>
                <w:sz w:val="24"/>
                <w:szCs w:val="24"/>
              </w:rPr>
              <w:t>”</w:t>
            </w:r>
            <w:r>
              <w:rPr>
                <w:rFonts w:eastAsia="仿宋"/>
                <w:sz w:val="24"/>
                <w:szCs w:val="24"/>
              </w:rPr>
              <w:t>后进入活性炭吸附和除尘器。</w:t>
            </w:r>
          </w:p>
        </w:tc>
      </w:tr>
    </w:tbl>
    <w:p w14:paraId="0CE63664" w14:textId="77777777" w:rsidR="000E76B9" w:rsidRDefault="000E76B9">
      <w:pPr>
        <w:adjustRightInd w:val="0"/>
        <w:snapToGrid w:val="0"/>
        <w:spacing w:line="360" w:lineRule="auto"/>
        <w:jc w:val="center"/>
        <w:rPr>
          <w:color w:val="FF0000"/>
          <w:sz w:val="24"/>
          <w:szCs w:val="24"/>
        </w:rPr>
      </w:pPr>
    </w:p>
    <w:p w14:paraId="76C15D9C" w14:textId="77777777" w:rsidR="000E76B9" w:rsidRDefault="000E76B9">
      <w:pPr>
        <w:widowControl/>
        <w:autoSpaceDE w:val="0"/>
        <w:autoSpaceDN w:val="0"/>
        <w:spacing w:line="360" w:lineRule="auto"/>
        <w:ind w:firstLineChars="200" w:firstLine="600"/>
        <w:rPr>
          <w:rFonts w:eastAsia="仿宋"/>
          <w:sz w:val="30"/>
          <w:szCs w:val="30"/>
        </w:rPr>
        <w:sectPr w:rsidR="000E76B9">
          <w:pgSz w:w="16838" w:h="11906" w:orient="landscape"/>
          <w:pgMar w:top="1803" w:right="1440" w:bottom="1803" w:left="1440" w:header="851" w:footer="992" w:gutter="0"/>
          <w:cols w:space="0"/>
          <w:docGrid w:type="lines" w:linePitch="319"/>
        </w:sectPr>
      </w:pPr>
    </w:p>
    <w:p w14:paraId="73312E38" w14:textId="77777777" w:rsidR="000E76B9" w:rsidRDefault="00A86600" w:rsidP="00850642">
      <w:pPr>
        <w:adjustRightInd w:val="0"/>
        <w:snapToGrid w:val="0"/>
        <w:spacing w:line="360" w:lineRule="auto"/>
        <w:ind w:firstLineChars="200" w:firstLine="643"/>
        <w:outlineLvl w:val="2"/>
        <w:rPr>
          <w:rFonts w:eastAsia="仿宋"/>
          <w:b/>
          <w:sz w:val="32"/>
          <w:szCs w:val="32"/>
        </w:rPr>
      </w:pPr>
      <w:r>
        <w:rPr>
          <w:rFonts w:eastAsia="仿宋" w:hint="eastAsia"/>
          <w:b/>
          <w:sz w:val="32"/>
          <w:szCs w:val="32"/>
        </w:rPr>
        <w:lastRenderedPageBreak/>
        <w:t>2</w:t>
      </w:r>
      <w:r>
        <w:rPr>
          <w:rFonts w:eastAsia="仿宋"/>
          <w:b/>
          <w:sz w:val="32"/>
          <w:szCs w:val="32"/>
        </w:rPr>
        <w:t>．</w:t>
      </w:r>
      <w:r>
        <w:rPr>
          <w:rFonts w:eastAsia="仿宋" w:hint="eastAsia"/>
          <w:b/>
          <w:sz w:val="32"/>
          <w:szCs w:val="32"/>
        </w:rPr>
        <w:t>与恶臭（异味）污染物排放相关标准的比较</w:t>
      </w:r>
    </w:p>
    <w:p w14:paraId="40C7009F"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中国于</w:t>
      </w:r>
      <w:r>
        <w:rPr>
          <w:rFonts w:eastAsia="仿宋" w:hint="eastAsia"/>
          <w:sz w:val="30"/>
          <w:szCs w:val="30"/>
        </w:rPr>
        <w:t>1993</w:t>
      </w:r>
      <w:r>
        <w:rPr>
          <w:rFonts w:eastAsia="仿宋" w:hint="eastAsia"/>
          <w:sz w:val="30"/>
          <w:szCs w:val="30"/>
        </w:rPr>
        <w:t>年颁布了《恶臭污染物排放标准》（</w:t>
      </w:r>
      <w:r>
        <w:rPr>
          <w:rFonts w:eastAsia="仿宋" w:hint="eastAsia"/>
          <w:sz w:val="30"/>
          <w:szCs w:val="30"/>
        </w:rPr>
        <w:t>GB14554-1993</w:t>
      </w:r>
      <w:r>
        <w:rPr>
          <w:rFonts w:eastAsia="仿宋" w:hint="eastAsia"/>
          <w:sz w:val="30"/>
          <w:szCs w:val="30"/>
        </w:rPr>
        <w:t>），重点规定了氨、硫化氢、三甲胺、甲硫醇、甲硫醚、二甲二硫、二硫化碳和苯乙烯共</w:t>
      </w:r>
      <w:r>
        <w:rPr>
          <w:rFonts w:eastAsia="仿宋" w:hint="eastAsia"/>
          <w:sz w:val="30"/>
          <w:szCs w:val="30"/>
        </w:rPr>
        <w:t>8</w:t>
      </w:r>
      <w:r>
        <w:rPr>
          <w:rFonts w:eastAsia="仿宋" w:hint="eastAsia"/>
          <w:sz w:val="30"/>
          <w:szCs w:val="30"/>
        </w:rPr>
        <w:t>种恶臭（异味）物质的排放限值。</w:t>
      </w:r>
    </w:p>
    <w:p w14:paraId="2D6FAB5B"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1995</w:t>
      </w:r>
      <w:r>
        <w:rPr>
          <w:rFonts w:eastAsia="仿宋" w:hint="eastAsia"/>
          <w:sz w:val="30"/>
          <w:szCs w:val="30"/>
        </w:rPr>
        <w:t>年，天津市发布了全国首个地方《恶臭污染物排放标准》（</w:t>
      </w:r>
      <w:r>
        <w:rPr>
          <w:rFonts w:eastAsia="仿宋" w:hint="eastAsia"/>
          <w:sz w:val="30"/>
          <w:szCs w:val="30"/>
        </w:rPr>
        <w:t>DB12/-059-95</w:t>
      </w:r>
      <w:r>
        <w:rPr>
          <w:rFonts w:eastAsia="仿宋" w:hint="eastAsia"/>
          <w:sz w:val="30"/>
          <w:szCs w:val="30"/>
        </w:rPr>
        <w:t>），受当时科学技术水平及恶臭污染防治技术发展水平限制，该标准中仅提出了硫化氢、氨、甲硫醚、三甲胺、甲硫醇、臭气浓度等</w:t>
      </w:r>
      <w:r>
        <w:rPr>
          <w:rFonts w:eastAsia="仿宋" w:hint="eastAsia"/>
          <w:sz w:val="30"/>
          <w:szCs w:val="30"/>
        </w:rPr>
        <w:t>6</w:t>
      </w:r>
      <w:r>
        <w:rPr>
          <w:rFonts w:eastAsia="仿宋" w:hint="eastAsia"/>
          <w:sz w:val="30"/>
          <w:szCs w:val="30"/>
        </w:rPr>
        <w:t>个控制项目。随后，天津市于</w:t>
      </w:r>
      <w:r>
        <w:rPr>
          <w:rFonts w:eastAsia="仿宋" w:hint="eastAsia"/>
          <w:sz w:val="30"/>
          <w:szCs w:val="30"/>
        </w:rPr>
        <w:t>2018</w:t>
      </w:r>
      <w:r>
        <w:rPr>
          <w:rFonts w:eastAsia="仿宋" w:hint="eastAsia"/>
          <w:sz w:val="30"/>
          <w:szCs w:val="30"/>
        </w:rPr>
        <w:t>年修订颁布《恶臭污染物排放标准》（</w:t>
      </w:r>
      <w:r>
        <w:rPr>
          <w:rFonts w:eastAsia="仿宋" w:hint="eastAsia"/>
          <w:sz w:val="30"/>
          <w:szCs w:val="30"/>
        </w:rPr>
        <w:t>DB12/ 059-2018</w:t>
      </w:r>
      <w:r>
        <w:rPr>
          <w:rFonts w:eastAsia="仿宋" w:hint="eastAsia"/>
          <w:sz w:val="30"/>
          <w:szCs w:val="30"/>
        </w:rPr>
        <w:t>），此次修订在保留原标准</w:t>
      </w:r>
      <w:r>
        <w:rPr>
          <w:rFonts w:eastAsia="仿宋" w:hint="eastAsia"/>
          <w:sz w:val="30"/>
          <w:szCs w:val="30"/>
        </w:rPr>
        <w:t>6</w:t>
      </w:r>
      <w:r>
        <w:rPr>
          <w:rFonts w:eastAsia="仿宋" w:hint="eastAsia"/>
          <w:sz w:val="30"/>
          <w:szCs w:val="30"/>
        </w:rPr>
        <w:t>个控制项目基础上，增加了</w:t>
      </w:r>
      <w:r>
        <w:rPr>
          <w:rFonts w:eastAsia="仿宋" w:hint="eastAsia"/>
          <w:sz w:val="30"/>
          <w:szCs w:val="30"/>
        </w:rPr>
        <w:t>11</w:t>
      </w:r>
      <w:r>
        <w:rPr>
          <w:rFonts w:eastAsia="仿宋" w:hint="eastAsia"/>
          <w:sz w:val="30"/>
          <w:szCs w:val="30"/>
        </w:rPr>
        <w:t>项恶臭（异味）污染物排放控制项目，同时收严了部分恶臭（异味）污染物排放控制要求。</w:t>
      </w:r>
    </w:p>
    <w:p w14:paraId="300D8280" w14:textId="71236901"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2016</w:t>
      </w:r>
      <w:r>
        <w:rPr>
          <w:rFonts w:eastAsia="仿宋" w:hint="eastAsia"/>
          <w:sz w:val="30"/>
          <w:szCs w:val="30"/>
        </w:rPr>
        <w:t>年，上海市发布了《恶臭（异味）污染物排放标准》（</w:t>
      </w:r>
      <w:r>
        <w:rPr>
          <w:rFonts w:eastAsia="仿宋" w:hint="eastAsia"/>
          <w:sz w:val="30"/>
          <w:szCs w:val="30"/>
        </w:rPr>
        <w:t>DB 31/1025-2016</w:t>
      </w:r>
      <w:r>
        <w:rPr>
          <w:rFonts w:eastAsia="仿宋" w:hint="eastAsia"/>
          <w:sz w:val="30"/>
          <w:szCs w:val="30"/>
        </w:rPr>
        <w:t>），规定了固定污染源</w:t>
      </w:r>
      <w:r>
        <w:rPr>
          <w:rFonts w:eastAsia="仿宋" w:hint="eastAsia"/>
          <w:sz w:val="30"/>
          <w:szCs w:val="30"/>
        </w:rPr>
        <w:t>22</w:t>
      </w:r>
      <w:r>
        <w:rPr>
          <w:rFonts w:eastAsia="仿宋" w:hint="eastAsia"/>
          <w:sz w:val="30"/>
          <w:szCs w:val="30"/>
        </w:rPr>
        <w:t>种恶臭（异味）污染物排放限值、监测和监控要求，也是本规范参照执行的重要依据标准文件。</w:t>
      </w:r>
    </w:p>
    <w:p w14:paraId="11542412" w14:textId="77777777" w:rsidR="000E76B9" w:rsidRDefault="00A86600">
      <w:pPr>
        <w:widowControl/>
        <w:autoSpaceDE w:val="0"/>
        <w:autoSpaceDN w:val="0"/>
        <w:spacing w:line="360" w:lineRule="auto"/>
        <w:ind w:firstLineChars="200" w:firstLine="600"/>
        <w:rPr>
          <w:rFonts w:eastAsia="仿宋"/>
          <w:sz w:val="30"/>
          <w:szCs w:val="30"/>
        </w:rPr>
      </w:pPr>
      <w:r>
        <w:rPr>
          <w:rFonts w:eastAsia="仿宋" w:hint="eastAsia"/>
          <w:sz w:val="30"/>
          <w:szCs w:val="30"/>
        </w:rPr>
        <w:t>根据编写组的调研结果，国内尚无已发布的针对动物无害化处理全流程和全生命周期的恶臭（异味）污染物规范文件。</w:t>
      </w:r>
    </w:p>
    <w:p w14:paraId="63F88986" w14:textId="77777777" w:rsidR="000E76B9" w:rsidRDefault="00A86600">
      <w:pPr>
        <w:widowControl/>
        <w:autoSpaceDE w:val="0"/>
        <w:autoSpaceDN w:val="0"/>
        <w:spacing w:line="360" w:lineRule="auto"/>
        <w:ind w:firstLineChars="200" w:firstLine="600"/>
        <w:rPr>
          <w:rFonts w:eastAsia="仿宋_GB2312"/>
          <w:kern w:val="0"/>
          <w:sz w:val="30"/>
          <w:szCs w:val="30"/>
        </w:rPr>
      </w:pPr>
      <w:r>
        <w:rPr>
          <w:rFonts w:eastAsia="仿宋" w:hint="eastAsia"/>
          <w:sz w:val="30"/>
          <w:szCs w:val="30"/>
        </w:rPr>
        <w:t>本规范中臭气浓度及恶臭（异味）特征污染物排放限值与《恶臭（异味）污染物排放标准》（</w:t>
      </w:r>
      <w:r>
        <w:rPr>
          <w:rFonts w:eastAsia="仿宋" w:hint="eastAsia"/>
          <w:sz w:val="30"/>
          <w:szCs w:val="30"/>
        </w:rPr>
        <w:t>DB 31/1025-2016</w:t>
      </w:r>
      <w:r>
        <w:rPr>
          <w:rFonts w:eastAsia="仿宋" w:hint="eastAsia"/>
          <w:sz w:val="30"/>
          <w:szCs w:val="30"/>
        </w:rPr>
        <w:t>）紧密衔接，同时，针对动物无害化各作业环节的产排污特点，结合资料调研、</w:t>
      </w:r>
      <w:r>
        <w:rPr>
          <w:rFonts w:eastAsia="仿宋" w:hint="eastAsia"/>
          <w:sz w:val="30"/>
          <w:szCs w:val="30"/>
        </w:rPr>
        <w:lastRenderedPageBreak/>
        <w:t>现场调研和监测数据，筛选出有代表性的</w:t>
      </w:r>
      <w:r>
        <w:rPr>
          <w:rFonts w:eastAsia="仿宋" w:hint="eastAsia"/>
          <w:sz w:val="30"/>
          <w:szCs w:val="30"/>
        </w:rPr>
        <w:t>6</w:t>
      </w:r>
      <w:r>
        <w:rPr>
          <w:rFonts w:eastAsia="仿宋" w:hint="eastAsia"/>
          <w:sz w:val="30"/>
          <w:szCs w:val="30"/>
        </w:rPr>
        <w:t>项恶臭（异味）特征污染物，并对排气筒高度等要求进行了细化。</w:t>
      </w:r>
    </w:p>
    <w:p w14:paraId="50C0C25B" w14:textId="77777777" w:rsidR="000E76B9" w:rsidRDefault="00A86600">
      <w:pPr>
        <w:spacing w:line="360" w:lineRule="auto"/>
        <w:ind w:firstLineChars="200" w:firstLine="643"/>
        <w:jc w:val="left"/>
        <w:outlineLvl w:val="0"/>
        <w:rPr>
          <w:rFonts w:eastAsia="黑体"/>
          <w:b/>
          <w:bCs/>
          <w:sz w:val="32"/>
          <w:szCs w:val="32"/>
        </w:rPr>
      </w:pPr>
      <w:bookmarkStart w:id="17" w:name="_Toc187067324"/>
      <w:r>
        <w:rPr>
          <w:rFonts w:eastAsia="黑体" w:hint="eastAsia"/>
          <w:b/>
          <w:bCs/>
          <w:sz w:val="32"/>
          <w:szCs w:val="32"/>
        </w:rPr>
        <w:t>七</w:t>
      </w:r>
      <w:r>
        <w:rPr>
          <w:rFonts w:eastAsia="黑体"/>
          <w:b/>
          <w:bCs/>
          <w:sz w:val="32"/>
          <w:szCs w:val="32"/>
        </w:rPr>
        <w:t>、与有关法律、行政法规及相关标准的关系</w:t>
      </w:r>
      <w:bookmarkEnd w:id="17"/>
    </w:p>
    <w:p w14:paraId="0DECED63"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本标准与有关的现行法律、法规和强制性标准不冲突</w:t>
      </w:r>
      <w:r>
        <w:rPr>
          <w:rFonts w:eastAsia="仿宋" w:hint="eastAsia"/>
          <w:sz w:val="30"/>
          <w:szCs w:val="30"/>
        </w:rPr>
        <w:t>。</w:t>
      </w:r>
    </w:p>
    <w:p w14:paraId="555B97A6" w14:textId="77777777" w:rsidR="000E76B9" w:rsidRDefault="00A86600">
      <w:pPr>
        <w:spacing w:line="360" w:lineRule="auto"/>
        <w:ind w:firstLineChars="200" w:firstLine="643"/>
        <w:jc w:val="left"/>
        <w:outlineLvl w:val="0"/>
        <w:rPr>
          <w:rFonts w:eastAsia="黑体"/>
          <w:b/>
          <w:bCs/>
          <w:sz w:val="32"/>
          <w:szCs w:val="32"/>
        </w:rPr>
      </w:pPr>
      <w:bookmarkStart w:id="18" w:name="_Toc187067325"/>
      <w:r>
        <w:rPr>
          <w:rFonts w:eastAsia="黑体" w:hint="eastAsia"/>
          <w:b/>
          <w:bCs/>
          <w:sz w:val="32"/>
          <w:szCs w:val="32"/>
        </w:rPr>
        <w:t>八</w:t>
      </w:r>
      <w:r>
        <w:rPr>
          <w:rFonts w:eastAsia="黑体"/>
          <w:b/>
          <w:bCs/>
          <w:sz w:val="32"/>
          <w:szCs w:val="32"/>
        </w:rPr>
        <w:t>、重大分歧意见的处理经过和依据</w:t>
      </w:r>
      <w:bookmarkEnd w:id="18"/>
    </w:p>
    <w:p w14:paraId="35D5AD59"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本标准在编制过程中无重大分歧意见</w:t>
      </w:r>
      <w:r>
        <w:rPr>
          <w:rFonts w:eastAsia="仿宋" w:hint="eastAsia"/>
          <w:sz w:val="30"/>
          <w:szCs w:val="30"/>
        </w:rPr>
        <w:t>。</w:t>
      </w:r>
    </w:p>
    <w:p w14:paraId="6167F457" w14:textId="77777777" w:rsidR="000E76B9" w:rsidRDefault="00A86600">
      <w:pPr>
        <w:spacing w:line="360" w:lineRule="auto"/>
        <w:ind w:firstLineChars="200" w:firstLine="643"/>
        <w:jc w:val="left"/>
        <w:outlineLvl w:val="0"/>
        <w:rPr>
          <w:rFonts w:eastAsia="黑体"/>
          <w:b/>
          <w:bCs/>
          <w:sz w:val="32"/>
          <w:szCs w:val="32"/>
        </w:rPr>
      </w:pPr>
      <w:bookmarkStart w:id="19" w:name="_Toc187067326"/>
      <w:r>
        <w:rPr>
          <w:rFonts w:eastAsia="黑体" w:hint="eastAsia"/>
          <w:b/>
          <w:bCs/>
          <w:sz w:val="32"/>
          <w:szCs w:val="32"/>
        </w:rPr>
        <w:t>九</w:t>
      </w:r>
      <w:r>
        <w:rPr>
          <w:rFonts w:eastAsia="黑体"/>
          <w:b/>
          <w:bCs/>
          <w:sz w:val="32"/>
          <w:szCs w:val="32"/>
        </w:rPr>
        <w:t>、实施标准的措施建议</w:t>
      </w:r>
      <w:bookmarkEnd w:id="19"/>
    </w:p>
    <w:p w14:paraId="6C15929B" w14:textId="04E000BB" w:rsidR="000E76B9" w:rsidRDefault="00A86600">
      <w:pPr>
        <w:adjustRightInd w:val="0"/>
        <w:snapToGrid w:val="0"/>
        <w:spacing w:line="360" w:lineRule="auto"/>
        <w:ind w:firstLineChars="200" w:firstLine="600"/>
        <w:rPr>
          <w:rFonts w:eastAsia="仿宋"/>
          <w:sz w:val="30"/>
          <w:szCs w:val="30"/>
        </w:rPr>
      </w:pPr>
      <w:r>
        <w:rPr>
          <w:rFonts w:eastAsia="仿宋"/>
          <w:sz w:val="30"/>
          <w:szCs w:val="30"/>
        </w:rPr>
        <w:t>建议《动物无害化处理恶臭（异味）污染物控制规范》作为推荐性标准予以实施。根据《国家标准管理办法》的规定，</w:t>
      </w:r>
      <w:r w:rsidRPr="00850642">
        <w:rPr>
          <w:rFonts w:ascii="仿宋" w:eastAsia="仿宋" w:hAnsi="仿宋" w:cs="仿宋" w:hint="eastAsia"/>
          <w:sz w:val="30"/>
          <w:szCs w:val="30"/>
        </w:rPr>
        <w:t>对</w:t>
      </w:r>
      <w:r>
        <w:rPr>
          <w:rFonts w:eastAsia="仿宋"/>
          <w:sz w:val="30"/>
          <w:szCs w:val="30"/>
        </w:rPr>
        <w:t>保障人身健康和生命财产安全、国家安全、生态环境安全以及满足经济社会管理基本需要的技术要求，应当制定强制性国家标准。本标准不属于上述范围，</w:t>
      </w:r>
      <w:r w:rsidRPr="00850642">
        <w:rPr>
          <w:rFonts w:ascii="仿宋" w:eastAsia="仿宋" w:hAnsi="仿宋" w:cs="仿宋" w:hint="eastAsia"/>
          <w:sz w:val="30"/>
          <w:szCs w:val="30"/>
        </w:rPr>
        <w:t>建</w:t>
      </w:r>
      <w:r>
        <w:rPr>
          <w:rFonts w:eastAsia="仿宋"/>
          <w:sz w:val="30"/>
          <w:szCs w:val="30"/>
        </w:rPr>
        <w:t>议按照推荐性标准执行。后续建议由市农委组织标准的学习和实施，</w:t>
      </w:r>
      <w:r w:rsidRPr="00850642">
        <w:rPr>
          <w:rFonts w:ascii="仿宋" w:eastAsia="仿宋" w:hAnsi="仿宋" w:cs="仿宋" w:hint="eastAsia"/>
          <w:sz w:val="30"/>
          <w:szCs w:val="30"/>
        </w:rPr>
        <w:t>具</w:t>
      </w:r>
      <w:r>
        <w:rPr>
          <w:rFonts w:eastAsia="仿宋"/>
          <w:sz w:val="30"/>
          <w:szCs w:val="30"/>
        </w:rPr>
        <w:t>体包括：</w:t>
      </w:r>
    </w:p>
    <w:p w14:paraId="12A63ED2"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一是加强标准的行业宣传力度，使相关人员在做好无害化防疫工作的同时，对无害化处理过程中的恶臭（异味）污染进行有效控制，避免或减少相关的投诉。</w:t>
      </w:r>
    </w:p>
    <w:p w14:paraId="0EC4B12B" w14:textId="77777777" w:rsidR="000E76B9" w:rsidRDefault="00A86600">
      <w:pPr>
        <w:adjustRightInd w:val="0"/>
        <w:snapToGrid w:val="0"/>
        <w:spacing w:line="360" w:lineRule="auto"/>
        <w:ind w:firstLineChars="200" w:firstLine="600"/>
        <w:rPr>
          <w:rFonts w:eastAsia="仿宋"/>
          <w:sz w:val="30"/>
          <w:szCs w:val="30"/>
        </w:rPr>
      </w:pPr>
      <w:r>
        <w:rPr>
          <w:rFonts w:eastAsia="仿宋"/>
          <w:sz w:val="30"/>
          <w:szCs w:val="30"/>
        </w:rPr>
        <w:t>二是加大对行业从业人员的培训。不仅仅针对动物无害化处理的技术规范，还应对动物无害化处理场所的环境管理进行必要的培训</w:t>
      </w:r>
      <w:r>
        <w:rPr>
          <w:rFonts w:eastAsia="仿宋" w:hint="eastAsia"/>
          <w:sz w:val="30"/>
          <w:szCs w:val="30"/>
        </w:rPr>
        <w:t>。</w:t>
      </w:r>
    </w:p>
    <w:p w14:paraId="2ACD7EE9" w14:textId="77777777" w:rsidR="000E76B9" w:rsidRDefault="00A86600">
      <w:pPr>
        <w:spacing w:line="360" w:lineRule="auto"/>
        <w:ind w:firstLineChars="200" w:firstLine="643"/>
        <w:jc w:val="left"/>
        <w:outlineLvl w:val="0"/>
        <w:rPr>
          <w:rFonts w:eastAsia="黑体"/>
          <w:b/>
          <w:bCs/>
          <w:sz w:val="32"/>
          <w:szCs w:val="32"/>
        </w:rPr>
      </w:pPr>
      <w:bookmarkStart w:id="20" w:name="_Toc187067327"/>
      <w:r>
        <w:rPr>
          <w:rFonts w:eastAsia="黑体"/>
          <w:b/>
          <w:bCs/>
          <w:sz w:val="32"/>
          <w:szCs w:val="32"/>
        </w:rPr>
        <w:t>十、其他应当说明的事项</w:t>
      </w:r>
      <w:bookmarkEnd w:id="20"/>
    </w:p>
    <w:p w14:paraId="288A84A4" w14:textId="77777777" w:rsidR="000E76B9" w:rsidRDefault="00A86600">
      <w:pPr>
        <w:widowControl/>
        <w:autoSpaceDE w:val="0"/>
        <w:autoSpaceDN w:val="0"/>
        <w:spacing w:line="360" w:lineRule="auto"/>
        <w:ind w:firstLineChars="200" w:firstLine="600"/>
        <w:rPr>
          <w:rFonts w:eastAsia="仿宋_GB2312"/>
          <w:kern w:val="0"/>
          <w:sz w:val="30"/>
          <w:szCs w:val="30"/>
        </w:rPr>
      </w:pPr>
      <w:r>
        <w:rPr>
          <w:rFonts w:eastAsia="仿宋" w:hint="eastAsia"/>
          <w:sz w:val="30"/>
          <w:szCs w:val="30"/>
        </w:rPr>
        <w:t>本文件的某些内容可能涉及专利。本文件的发布机构不承担识别专利的责任。</w:t>
      </w:r>
    </w:p>
    <w:p w14:paraId="1FA5A327" w14:textId="69F1595D" w:rsidR="000E76B9" w:rsidRDefault="00A86600" w:rsidP="00CC015B">
      <w:pPr>
        <w:adjustRightInd w:val="0"/>
        <w:snapToGrid w:val="0"/>
        <w:spacing w:line="500" w:lineRule="exact"/>
        <w:ind w:firstLine="560"/>
        <w:rPr>
          <w:rFonts w:eastAsia="仿宋"/>
          <w:sz w:val="30"/>
          <w:szCs w:val="30"/>
        </w:rPr>
      </w:pPr>
      <w:r>
        <w:rPr>
          <w:sz w:val="24"/>
          <w:szCs w:val="24"/>
        </w:rPr>
        <w:t xml:space="preserve">                                      </w:t>
      </w:r>
      <w:r w:rsidR="00103CDC">
        <w:rPr>
          <w:sz w:val="24"/>
          <w:szCs w:val="24"/>
        </w:rPr>
        <w:t xml:space="preserve">  </w:t>
      </w:r>
    </w:p>
    <w:sectPr w:rsidR="000E76B9">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46724" w14:textId="77777777" w:rsidR="00DB7581" w:rsidRDefault="00DB7581">
      <w:r>
        <w:separator/>
      </w:r>
    </w:p>
  </w:endnote>
  <w:endnote w:type="continuationSeparator" w:id="0">
    <w:p w14:paraId="362D289D" w14:textId="77777777" w:rsidR="00DB7581" w:rsidRDefault="00DB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E1ADC" w14:textId="77777777" w:rsidR="002514F3" w:rsidRDefault="002514F3">
    <w:pPr>
      <w:pStyle w:val="aa"/>
      <w:ind w:right="91"/>
      <w:jc w:val="center"/>
      <w:rPr>
        <w:rFonts w:ascii="宋体" w:hAnsi="宋体"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1E02A" w14:textId="77777777" w:rsidR="002514F3" w:rsidRDefault="002514F3">
    <w:pPr>
      <w:pStyle w:val="aa"/>
      <w:ind w:right="91"/>
      <w:jc w:val="center"/>
      <w:rPr>
        <w:rFonts w:ascii="宋体" w:hAnsi="宋体" w:hint="eastAsia"/>
      </w:rPr>
    </w:pPr>
    <w:r>
      <w:rPr>
        <w:noProof/>
      </w:rPr>
      <mc:AlternateContent>
        <mc:Choice Requires="wps">
          <w:drawing>
            <wp:anchor distT="0" distB="0" distL="114300" distR="114300" simplePos="0" relativeHeight="251660288" behindDoc="0" locked="0" layoutInCell="1" allowOverlap="1" wp14:anchorId="48F3041B" wp14:editId="2DF15CCC">
              <wp:simplePos x="0" y="0"/>
              <wp:positionH relativeFrom="margin">
                <wp:align>center</wp:align>
              </wp:positionH>
              <wp:positionV relativeFrom="paragraph">
                <wp:posOffset>0</wp:posOffset>
              </wp:positionV>
              <wp:extent cx="1828800" cy="1828800"/>
              <wp:effectExtent l="0" t="0" r="0" b="0"/>
              <wp:wrapNone/>
              <wp:docPr id="759794437" name="文本框 7597944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44D45D" w14:textId="77777777" w:rsidR="002514F3" w:rsidRDefault="002514F3"/>
                      </w:txbxContent>
                    </wps:txbx>
                    <wps:bodyPr wrap="none" lIns="0" tIns="0" rIns="0" bIns="0">
                      <a:spAutoFit/>
                    </wps:bodyPr>
                  </wps:wsp>
                </a:graphicData>
              </a:graphic>
            </wp:anchor>
          </w:drawing>
        </mc:Choice>
        <mc:Fallback>
          <w:pict>
            <v:shapetype w14:anchorId="48F3041B" id="_x0000_t202" coordsize="21600,21600" o:spt="202" path="m,l,21600r21600,l21600,xe">
              <v:stroke joinstyle="miter"/>
              <v:path gradientshapeok="t" o:connecttype="rect"/>
            </v:shapetype>
            <v:shape id="文本框 759794437"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WcquAEAAE8DAAAOAAAAZHJzL2Uyb0RvYy54bWysU81uEzEQviPxDpbvjbdpIekqmwpUFSEh&#10;QCo8gOO1s5b8J4+b3bwAvAEnLtx5rjxHx84moe2t4uIdz3i+me+b2cX1YA3ZyAjau4aeTypKpBO+&#10;1W7d0O/fbs/mlEDiruXGO9nQrQR6vXz9atGHWk59500rI0EQB3UfGtqlFGrGQHTScpj4IB0GlY+W&#10;J7zGNWsj7xHdGjatqres97EN0QsJgN6bfZAuC75SUqQvSoFMxDQUe0vljOVc5ZMtF7xeRx46LcY2&#10;+Au6sFw7LHqEuuGJk/uon0FZLaIHr9JEeMu8UlrIwgHZnFdP2Nx1PMjCBcWBcJQJ/h+s+Lz5Golu&#10;Gzp7czW7ury8mFHiuMVR7X793P3+u/vzg5xCKFcfoMasu4B5aXjvBxx7ljH7AZ1ZhUFFm7/Ij2Ac&#10;hd8exZZDIiInzafzeYUhgbHDBXHYKT1ESB+ktyQbDY04zSIy33yCtH96eJKrOX+rjUE/r4175EDM&#10;7GGnHrOVhtUwNr7y7Rb59LgIDXW4qZSYjw51zjtzMOLBWI1GrgHh3X3CwqWfjLqHGovh1AqjccPy&#10;Wvx7L69O/8HyAQAA//8DAFBLAwQUAAYACAAAACEAApWt79gAAAAKAQAADwAAAGRycy9kb3ducmV2&#10;LnhtbExPQWrDMBC8F/oHsYXcGrk5pMaxHEpCLr01LYXeFGtjmUorIymO/ftuS6G9DDsMMztTbyfv&#10;xIgx9YEUPCwLEEhtMD11Ct5eD/cliJQ1Ge0CoYIZE2yb25taVyZc6QXHY+4Eh1CqtAKb81BJmVqL&#10;XqdlGJBYO4fodWYaO2mivnK4d3JVFGvpdU/8weoBdxbbz+PFK3ic3gMOCXf4cR7baPu5dM+zUou7&#10;ab9heNqAyDjlPwd8b+D+0HCxU7iQScIp4DX5B1lblSXT0+8hm1r+n9B8AQAA//8DAFBLAQItABQA&#10;BgAIAAAAIQC2gziS/gAAAOEBAAATAAAAAAAAAAAAAAAAAAAAAABbQ29udGVudF9UeXBlc10ueG1s&#10;UEsBAi0AFAAGAAgAAAAhADj9If/WAAAAlAEAAAsAAAAAAAAAAAAAAAAALwEAAF9yZWxzLy5yZWxz&#10;UEsBAi0AFAAGAAgAAAAhAHQ5Zyq4AQAATwMAAA4AAAAAAAAAAAAAAAAALgIAAGRycy9lMm9Eb2Mu&#10;eG1sUEsBAi0AFAAGAAgAAAAhAAKVre/YAAAACgEAAA8AAAAAAAAAAAAAAAAAEgQAAGRycy9kb3du&#10;cmV2LnhtbFBLBQYAAAAABAAEAPMAAAAXBQAAAAA=&#10;" filled="f" stroked="f">
              <v:textbox style="mso-fit-shape-to-text:t" inset="0,0,0,0">
                <w:txbxContent>
                  <w:p w14:paraId="0044D45D" w14:textId="77777777" w:rsidR="002514F3" w:rsidRDefault="002514F3"/>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6DEB5" w14:textId="77777777" w:rsidR="002514F3" w:rsidRDefault="002514F3">
    <w:pPr>
      <w:pStyle w:val="aa"/>
      <w:ind w:right="91"/>
      <w:jc w:val="center"/>
      <w:rPr>
        <w:rFonts w:ascii="宋体" w:hAnsi="宋体" w:hint="eastAsia"/>
      </w:rPr>
    </w:pPr>
    <w:r>
      <w:rPr>
        <w:noProof/>
      </w:rPr>
      <mc:AlternateContent>
        <mc:Choice Requires="wps">
          <w:drawing>
            <wp:anchor distT="0" distB="0" distL="114300" distR="114300" simplePos="0" relativeHeight="251659264" behindDoc="0" locked="0" layoutInCell="1" allowOverlap="1" wp14:anchorId="1F81C18C" wp14:editId="4FEADD9E">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3CD5C2" w14:textId="77777777" w:rsidR="002514F3" w:rsidRDefault="002514F3">
                          <w:pPr>
                            <w:pStyle w:val="aa"/>
                            <w:ind w:right="91"/>
                            <w:jc w:val="center"/>
                          </w:pPr>
                          <w:r>
                            <w:rPr>
                              <w:rFonts w:ascii="宋体" w:hAnsi="宋体"/>
                            </w:rPr>
                            <w:fldChar w:fldCharType="begin"/>
                          </w:r>
                          <w:r>
                            <w:rPr>
                              <w:rStyle w:val="af1"/>
                              <w:rFonts w:ascii="宋体" w:hAnsi="宋体"/>
                            </w:rPr>
                            <w:instrText xml:space="preserve"> PAGE </w:instrText>
                          </w:r>
                          <w:r>
                            <w:rPr>
                              <w:rFonts w:ascii="宋体" w:hAnsi="宋体"/>
                            </w:rPr>
                            <w:fldChar w:fldCharType="separate"/>
                          </w:r>
                          <w:r w:rsidR="0079089A">
                            <w:rPr>
                              <w:rStyle w:val="af1"/>
                              <w:rFonts w:ascii="宋体" w:hAnsi="宋体"/>
                              <w:noProof/>
                            </w:rPr>
                            <w:t>18</w:t>
                          </w:r>
                          <w:r>
                            <w:rPr>
                              <w:rFonts w:ascii="宋体" w:hAnsi="宋体"/>
                            </w:rPr>
                            <w:fldChar w:fldCharType="end"/>
                          </w:r>
                        </w:p>
                      </w:txbxContent>
                    </wps:txbx>
                    <wps:bodyPr wrap="none" lIns="0" tIns="0" rIns="0" bIns="0">
                      <a:spAutoFit/>
                    </wps:bodyPr>
                  </wps:wsp>
                </a:graphicData>
              </a:graphic>
            </wp:anchor>
          </w:drawing>
        </mc:Choice>
        <mc:Fallback>
          <w:pict>
            <v:shapetype w14:anchorId="1F81C18C"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L7jrgEAAEYDAAAOAAAAZHJzL2Uyb0RvYy54bWysUsGOEzEMvSPxD1HuNLNdCVWjTleg1SIk&#10;BEgLH5Bmkk6kJI7ibGf6A/AHnLhw57v6HThpp7vADXFJHNt5fs/2+mbyju11Qguh41eLhjMdFPQ2&#10;7Dr++dPdixVnmGXopYOgO37QyG82z5+tx9jqJQzgep0YgQRsx9jxIefYCoFq0F7iAqIOFDSQvMz0&#10;TDvRJzkSundi2TQvxQipjwmURiTv7SnINxXfGK3yB2NQZ+Y6TtxyPVM9t+UUm7Vsd0nGwaozDfkP&#10;LLy0gYpeoG5lluwh2b+gvFUJEExeKPACjLFKVw2k5qr5Q839IKOuWqg5GC9twv8Hq97vPyZm+45f&#10;cxakpxEdv309fv95/PGFXZf2jBFbyrqPlJen1zDRmGc/krOonkzy5SY9jOLU6MOluXrKTJVPq+Vq&#10;1VBIUWx+EL54/B4T5jcaPCtGxxNNrzZV7t9hPqXOKaVagDvrXJ2gC785CLN4ROF+4lisPG2nKvXC&#10;fwv9gWSNNP+OB1pQztzbQO0tqzIbaTa2Z6OUwvjqIVP9SquAn6DONWlYVdh5sco2PH3XrMf13/wC&#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O00vuOuAQAARgMAAA4AAAAAAAAAAAAAAAAALgIAAGRycy9lMm9Eb2MueG1sUEsBAi0AFAAG&#10;AAgAAAAhAAxK8O7WAAAABQEAAA8AAAAAAAAAAAAAAAAACAQAAGRycy9kb3ducmV2LnhtbFBLBQYA&#10;AAAABAAEAPMAAAALBQAAAAA=&#10;" filled="f" stroked="f">
              <v:textbox style="mso-fit-shape-to-text:t" inset="0,0,0,0">
                <w:txbxContent>
                  <w:p w14:paraId="193CD5C2" w14:textId="77777777" w:rsidR="002514F3" w:rsidRDefault="002514F3">
                    <w:pPr>
                      <w:pStyle w:val="a8"/>
                      <w:ind w:right="91"/>
                      <w:jc w:val="center"/>
                    </w:pPr>
                    <w:r>
                      <w:rPr>
                        <w:rFonts w:ascii="宋体" w:hAnsi="宋体"/>
                      </w:rPr>
                      <w:fldChar w:fldCharType="begin"/>
                    </w:r>
                    <w:r>
                      <w:rPr>
                        <w:rStyle w:val="ad"/>
                        <w:rFonts w:ascii="宋体" w:hAnsi="宋体"/>
                      </w:rPr>
                      <w:instrText xml:space="preserve"> PAGE </w:instrText>
                    </w:r>
                    <w:r>
                      <w:rPr>
                        <w:rFonts w:ascii="宋体" w:hAnsi="宋体"/>
                      </w:rPr>
                      <w:fldChar w:fldCharType="separate"/>
                    </w:r>
                    <w:r w:rsidR="0079089A">
                      <w:rPr>
                        <w:rStyle w:val="ad"/>
                        <w:rFonts w:ascii="宋体" w:hAnsi="宋体"/>
                        <w:noProof/>
                      </w:rPr>
                      <w:t>18</w:t>
                    </w:r>
                    <w:r>
                      <w:rPr>
                        <w:rFonts w:ascii="宋体" w:hAnsi="宋体"/>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66720" w14:textId="77777777" w:rsidR="00DB7581" w:rsidRDefault="00DB7581">
      <w:r>
        <w:separator/>
      </w:r>
    </w:p>
  </w:footnote>
  <w:footnote w:type="continuationSeparator" w:id="0">
    <w:p w14:paraId="1588B621" w14:textId="77777777" w:rsidR="00DB7581" w:rsidRDefault="00DB7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103AFD"/>
    <w:multiLevelType w:val="multilevel"/>
    <w:tmpl w:val="85103AFD"/>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2" w:hanging="142"/>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DC38EBE1"/>
    <w:multiLevelType w:val="singleLevel"/>
    <w:tmpl w:val="DC38EBE1"/>
    <w:lvl w:ilvl="0">
      <w:start w:val="1"/>
      <w:numFmt w:val="bullet"/>
      <w:lvlText w:val=""/>
      <w:lvlJc w:val="left"/>
      <w:pPr>
        <w:ind w:left="420" w:hanging="420"/>
      </w:pPr>
      <w:rPr>
        <w:rFonts w:ascii="Wingdings" w:hAnsi="Wingdings" w:hint="default"/>
      </w:rPr>
    </w:lvl>
  </w:abstractNum>
  <w:num w:numId="1" w16cid:durableId="1961764376">
    <w:abstractNumId w:val="0"/>
  </w:num>
  <w:num w:numId="2" w16cid:durableId="1740715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embedSystemFonts/>
  <w:bordersDoNotSurroundHeader/>
  <w:bordersDoNotSurroundFooter/>
  <w:defaultTabStop w:val="420"/>
  <w:drawingGridHorizontalSpacing w:val="105"/>
  <w:drawingGridVerticalSpacing w:val="319"/>
  <w:displayHorizont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QzZmUzNjE0NDkyZTgwYzlhMTRiYTU4MDllOTE3YjcifQ=="/>
  </w:docVars>
  <w:rsids>
    <w:rsidRoot w:val="008479FB"/>
    <w:rsid w:val="00003A6A"/>
    <w:rsid w:val="00014D64"/>
    <w:rsid w:val="000209D7"/>
    <w:rsid w:val="0002610B"/>
    <w:rsid w:val="0004139F"/>
    <w:rsid w:val="00043B34"/>
    <w:rsid w:val="00044536"/>
    <w:rsid w:val="00047270"/>
    <w:rsid w:val="00051220"/>
    <w:rsid w:val="000529CD"/>
    <w:rsid w:val="000539C7"/>
    <w:rsid w:val="00063B23"/>
    <w:rsid w:val="000725F5"/>
    <w:rsid w:val="00072D8C"/>
    <w:rsid w:val="000B297A"/>
    <w:rsid w:val="000C6B97"/>
    <w:rsid w:val="000C6FE3"/>
    <w:rsid w:val="000E76B9"/>
    <w:rsid w:val="00101F36"/>
    <w:rsid w:val="00103CDC"/>
    <w:rsid w:val="001242B1"/>
    <w:rsid w:val="001271DB"/>
    <w:rsid w:val="001465C5"/>
    <w:rsid w:val="00147C29"/>
    <w:rsid w:val="00156198"/>
    <w:rsid w:val="0017307D"/>
    <w:rsid w:val="001862FD"/>
    <w:rsid w:val="0019210C"/>
    <w:rsid w:val="001A04BF"/>
    <w:rsid w:val="001A7B7B"/>
    <w:rsid w:val="001B441F"/>
    <w:rsid w:val="001D4FC1"/>
    <w:rsid w:val="001E4B06"/>
    <w:rsid w:val="001F1A39"/>
    <w:rsid w:val="001F71C4"/>
    <w:rsid w:val="00216EE8"/>
    <w:rsid w:val="002208CE"/>
    <w:rsid w:val="002346E0"/>
    <w:rsid w:val="0024102C"/>
    <w:rsid w:val="002514F3"/>
    <w:rsid w:val="0025727E"/>
    <w:rsid w:val="00260080"/>
    <w:rsid w:val="00280019"/>
    <w:rsid w:val="00293711"/>
    <w:rsid w:val="002A69F0"/>
    <w:rsid w:val="002B1565"/>
    <w:rsid w:val="002B327E"/>
    <w:rsid w:val="002D07AB"/>
    <w:rsid w:val="002D3EB2"/>
    <w:rsid w:val="002F0965"/>
    <w:rsid w:val="002F3E45"/>
    <w:rsid w:val="00300597"/>
    <w:rsid w:val="00301C4E"/>
    <w:rsid w:val="003261A9"/>
    <w:rsid w:val="00326C24"/>
    <w:rsid w:val="003337E3"/>
    <w:rsid w:val="00340AC6"/>
    <w:rsid w:val="00345AF4"/>
    <w:rsid w:val="00350846"/>
    <w:rsid w:val="00354DB2"/>
    <w:rsid w:val="00357934"/>
    <w:rsid w:val="00363A50"/>
    <w:rsid w:val="00365024"/>
    <w:rsid w:val="00371186"/>
    <w:rsid w:val="003716A7"/>
    <w:rsid w:val="003770DB"/>
    <w:rsid w:val="003808EC"/>
    <w:rsid w:val="00397CD4"/>
    <w:rsid w:val="003B0810"/>
    <w:rsid w:val="003B0CAC"/>
    <w:rsid w:val="003E707D"/>
    <w:rsid w:val="00403747"/>
    <w:rsid w:val="004061C5"/>
    <w:rsid w:val="004103F9"/>
    <w:rsid w:val="00412D90"/>
    <w:rsid w:val="004232B4"/>
    <w:rsid w:val="00434018"/>
    <w:rsid w:val="004417E3"/>
    <w:rsid w:val="004506C9"/>
    <w:rsid w:val="00451FDE"/>
    <w:rsid w:val="0045290E"/>
    <w:rsid w:val="00453865"/>
    <w:rsid w:val="0048024B"/>
    <w:rsid w:val="004B0EFF"/>
    <w:rsid w:val="004B1AAC"/>
    <w:rsid w:val="004B6915"/>
    <w:rsid w:val="004C3BF3"/>
    <w:rsid w:val="004D25BE"/>
    <w:rsid w:val="004D397D"/>
    <w:rsid w:val="004E3935"/>
    <w:rsid w:val="004F2553"/>
    <w:rsid w:val="004F5C8E"/>
    <w:rsid w:val="00512D18"/>
    <w:rsid w:val="00553AF6"/>
    <w:rsid w:val="005840A2"/>
    <w:rsid w:val="00592DE6"/>
    <w:rsid w:val="005A3C2F"/>
    <w:rsid w:val="005D3F9E"/>
    <w:rsid w:val="005E180E"/>
    <w:rsid w:val="005F6CCD"/>
    <w:rsid w:val="005F716E"/>
    <w:rsid w:val="005F7C5E"/>
    <w:rsid w:val="00624118"/>
    <w:rsid w:val="0063287A"/>
    <w:rsid w:val="006334C6"/>
    <w:rsid w:val="00634349"/>
    <w:rsid w:val="0065446B"/>
    <w:rsid w:val="006741E5"/>
    <w:rsid w:val="00677ABA"/>
    <w:rsid w:val="00687B57"/>
    <w:rsid w:val="00696A73"/>
    <w:rsid w:val="006A03E9"/>
    <w:rsid w:val="006C6DA9"/>
    <w:rsid w:val="006D325A"/>
    <w:rsid w:val="006E106F"/>
    <w:rsid w:val="006F6992"/>
    <w:rsid w:val="00703FD3"/>
    <w:rsid w:val="007163D6"/>
    <w:rsid w:val="0072188B"/>
    <w:rsid w:val="00757C82"/>
    <w:rsid w:val="00764D8A"/>
    <w:rsid w:val="00770C24"/>
    <w:rsid w:val="007717EC"/>
    <w:rsid w:val="0079089A"/>
    <w:rsid w:val="0079391E"/>
    <w:rsid w:val="007A3E7B"/>
    <w:rsid w:val="007B2977"/>
    <w:rsid w:val="007B6082"/>
    <w:rsid w:val="007D39EF"/>
    <w:rsid w:val="007D41F2"/>
    <w:rsid w:val="00800C55"/>
    <w:rsid w:val="00800DA2"/>
    <w:rsid w:val="008032B5"/>
    <w:rsid w:val="00824A87"/>
    <w:rsid w:val="008268CF"/>
    <w:rsid w:val="008272B8"/>
    <w:rsid w:val="00834BC5"/>
    <w:rsid w:val="008479FB"/>
    <w:rsid w:val="00850642"/>
    <w:rsid w:val="0085483A"/>
    <w:rsid w:val="00857DDD"/>
    <w:rsid w:val="008605B7"/>
    <w:rsid w:val="00860901"/>
    <w:rsid w:val="00862764"/>
    <w:rsid w:val="0086612A"/>
    <w:rsid w:val="00874597"/>
    <w:rsid w:val="00883FC9"/>
    <w:rsid w:val="008915CA"/>
    <w:rsid w:val="008B3CB7"/>
    <w:rsid w:val="008B7D27"/>
    <w:rsid w:val="008E495B"/>
    <w:rsid w:val="008E7BD0"/>
    <w:rsid w:val="00903ED0"/>
    <w:rsid w:val="00922614"/>
    <w:rsid w:val="00933A7B"/>
    <w:rsid w:val="0094094A"/>
    <w:rsid w:val="00942116"/>
    <w:rsid w:val="00943656"/>
    <w:rsid w:val="00951A3C"/>
    <w:rsid w:val="00954ECC"/>
    <w:rsid w:val="00956058"/>
    <w:rsid w:val="0095792D"/>
    <w:rsid w:val="00966D8D"/>
    <w:rsid w:val="009712E7"/>
    <w:rsid w:val="00972989"/>
    <w:rsid w:val="00987356"/>
    <w:rsid w:val="009A0C1A"/>
    <w:rsid w:val="009A1F63"/>
    <w:rsid w:val="009B3834"/>
    <w:rsid w:val="009B68C1"/>
    <w:rsid w:val="009C4730"/>
    <w:rsid w:val="009C6D77"/>
    <w:rsid w:val="009D5F89"/>
    <w:rsid w:val="009F386A"/>
    <w:rsid w:val="00A03937"/>
    <w:rsid w:val="00A07273"/>
    <w:rsid w:val="00A13DDA"/>
    <w:rsid w:val="00A14ADD"/>
    <w:rsid w:val="00A21075"/>
    <w:rsid w:val="00A22FF8"/>
    <w:rsid w:val="00A3101A"/>
    <w:rsid w:val="00A3375A"/>
    <w:rsid w:val="00A36A08"/>
    <w:rsid w:val="00A40D57"/>
    <w:rsid w:val="00A45DB5"/>
    <w:rsid w:val="00A5027B"/>
    <w:rsid w:val="00A504E3"/>
    <w:rsid w:val="00A64608"/>
    <w:rsid w:val="00A65BD5"/>
    <w:rsid w:val="00A6607C"/>
    <w:rsid w:val="00A67C16"/>
    <w:rsid w:val="00A858A6"/>
    <w:rsid w:val="00A86600"/>
    <w:rsid w:val="00A923DE"/>
    <w:rsid w:val="00A94C32"/>
    <w:rsid w:val="00A95D33"/>
    <w:rsid w:val="00AA031F"/>
    <w:rsid w:val="00AA4593"/>
    <w:rsid w:val="00AB3296"/>
    <w:rsid w:val="00AB53A8"/>
    <w:rsid w:val="00AC7306"/>
    <w:rsid w:val="00AD6A9C"/>
    <w:rsid w:val="00AE1784"/>
    <w:rsid w:val="00AF0BD4"/>
    <w:rsid w:val="00AF4D8B"/>
    <w:rsid w:val="00AF7675"/>
    <w:rsid w:val="00B018E6"/>
    <w:rsid w:val="00B078D5"/>
    <w:rsid w:val="00B300F1"/>
    <w:rsid w:val="00B33114"/>
    <w:rsid w:val="00B3662C"/>
    <w:rsid w:val="00B61E56"/>
    <w:rsid w:val="00B621E3"/>
    <w:rsid w:val="00B6504F"/>
    <w:rsid w:val="00B665CB"/>
    <w:rsid w:val="00B70AC9"/>
    <w:rsid w:val="00B73313"/>
    <w:rsid w:val="00B84F85"/>
    <w:rsid w:val="00BC0BDD"/>
    <w:rsid w:val="00BC1C04"/>
    <w:rsid w:val="00BD0513"/>
    <w:rsid w:val="00BD25A8"/>
    <w:rsid w:val="00BE2EB2"/>
    <w:rsid w:val="00BF3533"/>
    <w:rsid w:val="00BF41CE"/>
    <w:rsid w:val="00BF61E9"/>
    <w:rsid w:val="00C11B07"/>
    <w:rsid w:val="00C14A4A"/>
    <w:rsid w:val="00C15EBB"/>
    <w:rsid w:val="00C239D0"/>
    <w:rsid w:val="00C35628"/>
    <w:rsid w:val="00C546EE"/>
    <w:rsid w:val="00C6083D"/>
    <w:rsid w:val="00C6508A"/>
    <w:rsid w:val="00C73232"/>
    <w:rsid w:val="00C91A89"/>
    <w:rsid w:val="00CA1A4A"/>
    <w:rsid w:val="00CB75D4"/>
    <w:rsid w:val="00CC015B"/>
    <w:rsid w:val="00CC0FBD"/>
    <w:rsid w:val="00CC31BC"/>
    <w:rsid w:val="00CD02A8"/>
    <w:rsid w:val="00CD1301"/>
    <w:rsid w:val="00CD68A9"/>
    <w:rsid w:val="00CE1DBA"/>
    <w:rsid w:val="00CE3BAA"/>
    <w:rsid w:val="00CF546B"/>
    <w:rsid w:val="00D011D9"/>
    <w:rsid w:val="00D05461"/>
    <w:rsid w:val="00D17569"/>
    <w:rsid w:val="00D30EF3"/>
    <w:rsid w:val="00D571F1"/>
    <w:rsid w:val="00D6224C"/>
    <w:rsid w:val="00D63B80"/>
    <w:rsid w:val="00D75E8F"/>
    <w:rsid w:val="00D83A2E"/>
    <w:rsid w:val="00DB636C"/>
    <w:rsid w:val="00DB711B"/>
    <w:rsid w:val="00DB7581"/>
    <w:rsid w:val="00DB7921"/>
    <w:rsid w:val="00DD37A0"/>
    <w:rsid w:val="00DD6B4C"/>
    <w:rsid w:val="00E11489"/>
    <w:rsid w:val="00E21CA8"/>
    <w:rsid w:val="00E23137"/>
    <w:rsid w:val="00E252C9"/>
    <w:rsid w:val="00E31717"/>
    <w:rsid w:val="00E35D6A"/>
    <w:rsid w:val="00E5127D"/>
    <w:rsid w:val="00E55922"/>
    <w:rsid w:val="00E63C8B"/>
    <w:rsid w:val="00E72AA7"/>
    <w:rsid w:val="00E73E74"/>
    <w:rsid w:val="00E76357"/>
    <w:rsid w:val="00E92628"/>
    <w:rsid w:val="00E93AA4"/>
    <w:rsid w:val="00E9414B"/>
    <w:rsid w:val="00EA0C7C"/>
    <w:rsid w:val="00EA768A"/>
    <w:rsid w:val="00EB4358"/>
    <w:rsid w:val="00EB52DC"/>
    <w:rsid w:val="00EB6651"/>
    <w:rsid w:val="00F0286D"/>
    <w:rsid w:val="00F12D96"/>
    <w:rsid w:val="00F15206"/>
    <w:rsid w:val="00F20170"/>
    <w:rsid w:val="00F22441"/>
    <w:rsid w:val="00F249CB"/>
    <w:rsid w:val="00F422A4"/>
    <w:rsid w:val="00F54A85"/>
    <w:rsid w:val="00F6376E"/>
    <w:rsid w:val="00F71EB0"/>
    <w:rsid w:val="00F81638"/>
    <w:rsid w:val="00F816C8"/>
    <w:rsid w:val="00F8586C"/>
    <w:rsid w:val="00F93DC9"/>
    <w:rsid w:val="00F97E76"/>
    <w:rsid w:val="00FD1CF5"/>
    <w:rsid w:val="00FD24D7"/>
    <w:rsid w:val="00FD36BE"/>
    <w:rsid w:val="00FE5636"/>
    <w:rsid w:val="00FF1AEB"/>
    <w:rsid w:val="00FF5F74"/>
    <w:rsid w:val="03E868D9"/>
    <w:rsid w:val="041322C8"/>
    <w:rsid w:val="04483C4A"/>
    <w:rsid w:val="05045CE2"/>
    <w:rsid w:val="054E4EA9"/>
    <w:rsid w:val="088D69A3"/>
    <w:rsid w:val="09A80893"/>
    <w:rsid w:val="09C33728"/>
    <w:rsid w:val="0FB7182E"/>
    <w:rsid w:val="122421F1"/>
    <w:rsid w:val="14221993"/>
    <w:rsid w:val="1B482BC0"/>
    <w:rsid w:val="1BC10D18"/>
    <w:rsid w:val="1C9F1DD3"/>
    <w:rsid w:val="1DE205DD"/>
    <w:rsid w:val="21E645B7"/>
    <w:rsid w:val="229D5007"/>
    <w:rsid w:val="25246B9E"/>
    <w:rsid w:val="275814FC"/>
    <w:rsid w:val="27E52F40"/>
    <w:rsid w:val="29BC1FFB"/>
    <w:rsid w:val="2CF47537"/>
    <w:rsid w:val="30230B1D"/>
    <w:rsid w:val="31077AEF"/>
    <w:rsid w:val="32D06159"/>
    <w:rsid w:val="38DA77F0"/>
    <w:rsid w:val="3962396C"/>
    <w:rsid w:val="3CAD1BE4"/>
    <w:rsid w:val="3DC2196D"/>
    <w:rsid w:val="42D27F5D"/>
    <w:rsid w:val="43384C18"/>
    <w:rsid w:val="4A9B0C3F"/>
    <w:rsid w:val="523522B6"/>
    <w:rsid w:val="5325232B"/>
    <w:rsid w:val="59D419F6"/>
    <w:rsid w:val="59E71FD4"/>
    <w:rsid w:val="5ACF7B3C"/>
    <w:rsid w:val="5D105DFA"/>
    <w:rsid w:val="5DEF5A0F"/>
    <w:rsid w:val="61B378EC"/>
    <w:rsid w:val="61D04831"/>
    <w:rsid w:val="63680264"/>
    <w:rsid w:val="66C572C2"/>
    <w:rsid w:val="6A004348"/>
    <w:rsid w:val="6B2C2657"/>
    <w:rsid w:val="6D205895"/>
    <w:rsid w:val="72445640"/>
    <w:rsid w:val="73522870"/>
    <w:rsid w:val="75AF0F3D"/>
    <w:rsid w:val="75CC61D2"/>
    <w:rsid w:val="7C1405CF"/>
    <w:rsid w:val="7D157057"/>
    <w:rsid w:val="7D3F7CEF"/>
    <w:rsid w:val="7E8D0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7C308"/>
  <w15:docId w15:val="{20898ACB-6860-4B9A-8B45-543F58B06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page number" w:qFormat="1"/>
    <w:lsdException w:name="Title" w:qFormat="1"/>
    <w:lsdException w:name="Default Paragraph Font"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widowControl w:val="0"/>
      <w:jc w:val="both"/>
    </w:pPr>
    <w:rPr>
      <w:kern w:val="2"/>
      <w:sz w:val="21"/>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a7"/>
    <w:qFormat/>
    <w:pPr>
      <w:jc w:val="left"/>
    </w:pPr>
  </w:style>
  <w:style w:type="paragraph" w:styleId="a8">
    <w:name w:val="Balloon Text"/>
    <w:basedOn w:val="a2"/>
    <w:link w:val="a9"/>
    <w:qFormat/>
    <w:rPr>
      <w:rFonts w:ascii="宋体"/>
      <w:sz w:val="26"/>
      <w:szCs w:val="26"/>
    </w:rPr>
  </w:style>
  <w:style w:type="paragraph" w:styleId="aa">
    <w:name w:val="footer"/>
    <w:basedOn w:val="a2"/>
    <w:uiPriority w:val="99"/>
    <w:unhideWhenUsed/>
    <w:qFormat/>
    <w:pPr>
      <w:tabs>
        <w:tab w:val="center" w:pos="4153"/>
        <w:tab w:val="right" w:pos="8306"/>
      </w:tabs>
      <w:snapToGrid w:val="0"/>
      <w:jc w:val="left"/>
    </w:pPr>
    <w:rPr>
      <w:sz w:val="18"/>
      <w:szCs w:val="18"/>
    </w:rPr>
  </w:style>
  <w:style w:type="paragraph" w:styleId="ab">
    <w:name w:val="header"/>
    <w:basedOn w:val="a2"/>
    <w:link w:val="ac"/>
    <w:qFormat/>
    <w:pPr>
      <w:tabs>
        <w:tab w:val="center" w:pos="4153"/>
        <w:tab w:val="right" w:pos="8306"/>
      </w:tabs>
      <w:snapToGrid w:val="0"/>
      <w:jc w:val="center"/>
    </w:pPr>
    <w:rPr>
      <w:sz w:val="18"/>
      <w:szCs w:val="18"/>
    </w:rPr>
  </w:style>
  <w:style w:type="paragraph" w:styleId="TOC1">
    <w:name w:val="toc 1"/>
    <w:basedOn w:val="a2"/>
    <w:next w:val="a2"/>
    <w:autoRedefine/>
    <w:uiPriority w:val="39"/>
    <w:qFormat/>
  </w:style>
  <w:style w:type="paragraph" w:styleId="TOC2">
    <w:name w:val="toc 2"/>
    <w:basedOn w:val="a2"/>
    <w:next w:val="a2"/>
    <w:autoRedefine/>
    <w:uiPriority w:val="39"/>
    <w:qFormat/>
    <w:pPr>
      <w:ind w:leftChars="200" w:left="420"/>
    </w:pPr>
  </w:style>
  <w:style w:type="paragraph" w:styleId="ad">
    <w:name w:val="Normal (Web)"/>
    <w:basedOn w:val="a2"/>
    <w:uiPriority w:val="99"/>
    <w:qFormat/>
    <w:pPr>
      <w:widowControl/>
      <w:spacing w:beforeAutospacing="1" w:afterAutospacing="1"/>
      <w:ind w:rightChars="81" w:right="194"/>
    </w:pPr>
    <w:rPr>
      <w:rFonts w:ascii="宋体" w:hAnsi="宋体" w:cs="宋体"/>
      <w:kern w:val="0"/>
      <w:szCs w:val="24"/>
    </w:rPr>
  </w:style>
  <w:style w:type="paragraph" w:styleId="ae">
    <w:name w:val="annotation subject"/>
    <w:basedOn w:val="a6"/>
    <w:next w:val="a6"/>
    <w:link w:val="af"/>
    <w:qFormat/>
    <w:rPr>
      <w:b/>
      <w:bCs/>
    </w:rPr>
  </w:style>
  <w:style w:type="table" w:styleId="af0">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3"/>
    <w:qFormat/>
  </w:style>
  <w:style w:type="character" w:styleId="af2">
    <w:name w:val="Hyperlink"/>
    <w:basedOn w:val="a3"/>
    <w:uiPriority w:val="99"/>
    <w:unhideWhenUsed/>
    <w:qFormat/>
    <w:rPr>
      <w:color w:val="0563C1" w:themeColor="hyperlink"/>
      <w:u w:val="single"/>
    </w:rPr>
  </w:style>
  <w:style w:type="character" w:styleId="af3">
    <w:name w:val="annotation reference"/>
    <w:basedOn w:val="a3"/>
    <w:qFormat/>
    <w:rPr>
      <w:sz w:val="21"/>
      <w:szCs w:val="21"/>
    </w:rPr>
  </w:style>
  <w:style w:type="paragraph" w:customStyle="1" w:styleId="af4">
    <w:name w:val="段"/>
    <w:qFormat/>
    <w:pPr>
      <w:tabs>
        <w:tab w:val="center" w:pos="4201"/>
        <w:tab w:val="right" w:leader="dot" w:pos="9298"/>
      </w:tabs>
      <w:autoSpaceDE w:val="0"/>
      <w:autoSpaceDN w:val="0"/>
      <w:ind w:firstLineChars="200" w:firstLine="420"/>
      <w:jc w:val="both"/>
    </w:pPr>
    <w:rPr>
      <w:rFonts w:ascii="宋体" w:eastAsia="Times New Roman"/>
      <w:kern w:val="2"/>
      <w:sz w:val="21"/>
      <w:szCs w:val="22"/>
    </w:rPr>
  </w:style>
  <w:style w:type="paragraph" w:customStyle="1" w:styleId="af5">
    <w:name w:val="标准书眉_奇数页"/>
    <w:next w:val="a2"/>
    <w:qFormat/>
    <w:pPr>
      <w:tabs>
        <w:tab w:val="center" w:pos="4154"/>
        <w:tab w:val="right" w:pos="8306"/>
      </w:tabs>
      <w:spacing w:after="220"/>
      <w:jc w:val="right"/>
    </w:pPr>
    <w:rPr>
      <w:rFonts w:ascii="黑体" w:eastAsia="黑体"/>
      <w:sz w:val="21"/>
      <w:szCs w:val="21"/>
    </w:rPr>
  </w:style>
  <w:style w:type="character" w:customStyle="1" w:styleId="ac">
    <w:name w:val="页眉 字符"/>
    <w:basedOn w:val="a3"/>
    <w:link w:val="ab"/>
    <w:qFormat/>
    <w:rPr>
      <w:kern w:val="2"/>
      <w:sz w:val="18"/>
      <w:szCs w:val="18"/>
    </w:rPr>
  </w:style>
  <w:style w:type="paragraph" w:customStyle="1" w:styleId="TableText">
    <w:name w:val="Table Text"/>
    <w:basedOn w:val="a2"/>
    <w:semiHidden/>
    <w:qFormat/>
    <w:pPr>
      <w:widowControl/>
      <w:kinsoku w:val="0"/>
      <w:autoSpaceDE w:val="0"/>
      <w:autoSpaceDN w:val="0"/>
      <w:adjustRightInd w:val="0"/>
      <w:snapToGrid w:val="0"/>
      <w:jc w:val="left"/>
      <w:textAlignment w:val="baseline"/>
    </w:pPr>
    <w:rPr>
      <w:rFonts w:ascii="宋体" w:hAnsi="宋体" w:cs="宋体"/>
      <w:color w:val="000000"/>
      <w:kern w:val="0"/>
      <w:sz w:val="20"/>
      <w:szCs w:val="20"/>
    </w:rPr>
  </w:style>
  <w:style w:type="paragraph" w:styleId="af6">
    <w:name w:val="List Paragraph"/>
    <w:basedOn w:val="a2"/>
    <w:uiPriority w:val="99"/>
    <w:unhideWhenUsed/>
    <w:qFormat/>
    <w:pPr>
      <w:ind w:firstLineChars="200" w:firstLine="420"/>
    </w:pPr>
  </w:style>
  <w:style w:type="character" w:customStyle="1" w:styleId="a7">
    <w:name w:val="批注文字 字符"/>
    <w:basedOn w:val="a3"/>
    <w:link w:val="a6"/>
    <w:qFormat/>
    <w:rPr>
      <w:kern w:val="2"/>
      <w:sz w:val="21"/>
      <w:szCs w:val="22"/>
    </w:rPr>
  </w:style>
  <w:style w:type="character" w:customStyle="1" w:styleId="af">
    <w:name w:val="批注主题 字符"/>
    <w:basedOn w:val="a7"/>
    <w:link w:val="ae"/>
    <w:qFormat/>
    <w:rPr>
      <w:b/>
      <w:bCs/>
      <w:kern w:val="2"/>
      <w:sz w:val="21"/>
      <w:szCs w:val="22"/>
    </w:rPr>
  </w:style>
  <w:style w:type="character" w:customStyle="1" w:styleId="a9">
    <w:name w:val="批注框文本 字符"/>
    <w:basedOn w:val="a3"/>
    <w:link w:val="a8"/>
    <w:qFormat/>
    <w:rPr>
      <w:rFonts w:ascii="宋体"/>
      <w:kern w:val="2"/>
      <w:sz w:val="26"/>
      <w:szCs w:val="26"/>
    </w:rPr>
  </w:style>
  <w:style w:type="paragraph" w:customStyle="1" w:styleId="1">
    <w:name w:val="修订1"/>
    <w:hidden/>
    <w:uiPriority w:val="99"/>
    <w:unhideWhenUsed/>
    <w:qFormat/>
    <w:rPr>
      <w:kern w:val="2"/>
      <w:sz w:val="21"/>
      <w:szCs w:val="22"/>
    </w:rPr>
  </w:style>
  <w:style w:type="paragraph" w:customStyle="1" w:styleId="a1">
    <w:name w:val="二级无"/>
    <w:basedOn w:val="a2"/>
    <w:qFormat/>
    <w:pPr>
      <w:numPr>
        <w:ilvl w:val="2"/>
        <w:numId w:val="1"/>
      </w:numPr>
    </w:pPr>
    <w:rPr>
      <w:rFonts w:asciiTheme="minorHAnsi" w:eastAsiaTheme="minorEastAsia" w:hAnsiTheme="minorHAnsi" w:cstheme="minorBidi"/>
      <w:szCs w:val="24"/>
    </w:rPr>
  </w:style>
  <w:style w:type="paragraph" w:customStyle="1" w:styleId="af7">
    <w:name w:val="标准文件_段"/>
    <w:qFormat/>
    <w:pPr>
      <w:autoSpaceDE w:val="0"/>
      <w:autoSpaceDN w:val="0"/>
      <w:jc w:val="both"/>
    </w:pPr>
    <w:rPr>
      <w:rFonts w:ascii="宋体"/>
      <w:sz w:val="21"/>
    </w:rPr>
  </w:style>
  <w:style w:type="paragraph" w:customStyle="1" w:styleId="a">
    <w:name w:val="章标题"/>
    <w:basedOn w:val="a2"/>
    <w:qFormat/>
    <w:pPr>
      <w:numPr>
        <w:numId w:val="1"/>
      </w:numPr>
    </w:pPr>
    <w:rPr>
      <w:rFonts w:asciiTheme="minorHAnsi" w:eastAsiaTheme="minorEastAsia" w:hAnsiTheme="minorHAnsi" w:cstheme="minorBidi"/>
      <w:szCs w:val="24"/>
    </w:rPr>
  </w:style>
  <w:style w:type="paragraph" w:customStyle="1" w:styleId="a0">
    <w:name w:val="一级条标题"/>
    <w:basedOn w:val="a2"/>
    <w:qFormat/>
    <w:pPr>
      <w:numPr>
        <w:ilvl w:val="1"/>
        <w:numId w:val="1"/>
      </w:numPr>
    </w:p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2">
    <w:name w:val="修订2"/>
    <w:hidden/>
    <w:uiPriority w:val="99"/>
    <w:unhideWhenUsed/>
    <w:qFormat/>
    <w:rPr>
      <w:kern w:val="2"/>
      <w:sz w:val="21"/>
      <w:szCs w:val="22"/>
    </w:rPr>
  </w:style>
  <w:style w:type="character" w:customStyle="1" w:styleId="10">
    <w:name w:val="未处理的提及1"/>
    <w:basedOn w:val="a3"/>
    <w:uiPriority w:val="99"/>
    <w:semiHidden/>
    <w:unhideWhenUsed/>
    <w:qFormat/>
    <w:rPr>
      <w:color w:val="605E5C"/>
      <w:shd w:val="clear" w:color="auto" w:fill="E1DFDD"/>
    </w:rPr>
  </w:style>
  <w:style w:type="paragraph" w:styleId="af8">
    <w:name w:val="Revision"/>
    <w:hidden/>
    <w:uiPriority w:val="99"/>
    <w:unhideWhenUsed/>
    <w:rsid w:val="00F2244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D40F4A1-1AF3-42D3-8FEB-65AE65E143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36</Pages>
  <Words>3131</Words>
  <Characters>17849</Characters>
  <Application>Microsoft Office Word</Application>
  <DocSecurity>0</DocSecurity>
  <Lines>148</Lines>
  <Paragraphs>41</Paragraphs>
  <ScaleCrop>false</ScaleCrop>
  <Company/>
  <LinksUpToDate>false</LinksUpToDate>
  <CharactersWithSpaces>20939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Huang Ann</cp:lastModifiedBy>
  <cp:revision>21</cp:revision>
  <dcterms:created xsi:type="dcterms:W3CDTF">2025-01-03T07:01:00Z</dcterms:created>
  <dcterms:modified xsi:type="dcterms:W3CDTF">2025-01-11T00:59:00Z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C6CADE1E26994D17A05629DB6736A45E_13</vt:lpwstr>
  </property>
  <property fmtid="{D5CDD505-2E9C-101B-9397-08002B2CF9AE}" pid="4" name="KSOTemplateDocerSaveRecord">
    <vt:lpwstr>eyJoZGlkIjoiZjk2YjUzMGU0MGM5ZWJjNTQxMjZmNTRlZjQ1ZDQwMTIiLCJ1c2VySWQiOiI2MDA1NjYyODYifQ==</vt:lpwstr>
  </property>
  <property fmtid="{D5CDD505-2E9C-101B-9397-08002B2CF9AE}" pid="5" name="MSIP_Label_defa4170-0d19-0005-0004-bc88714345d2_Enabled">
    <vt:lpwstr>true</vt:lpwstr>
  </property>
  <property fmtid="{D5CDD505-2E9C-101B-9397-08002B2CF9AE}" pid="6" name="MSIP_Label_defa4170-0d19-0005-0004-bc88714345d2_SetDate">
    <vt:lpwstr>2025-01-03T07:01:51Z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70fdd033-b6f5-4e59-955c-5ad437d0a3f8</vt:lpwstr>
  </property>
  <property fmtid="{D5CDD505-2E9C-101B-9397-08002B2CF9AE}" pid="10" name="MSIP_Label_defa4170-0d19-0005-0004-bc88714345d2_ActionId">
    <vt:lpwstr>4b6104e0-a327-450e-abce-6d6ee19c83fa</vt:lpwstr>
  </property>
  <property fmtid="{D5CDD505-2E9C-101B-9397-08002B2CF9AE}" pid="11" name="MSIP_Label_defa4170-0d19-0005-0004-bc88714345d2_ContentBits">
    <vt:lpwstr>0</vt:lpwstr>
  </property>
</Properties>
</file>